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d28101e10qsb.htm"/>
        <w:bookmarkStart w:id="1" w:name="ksd28101e10qsb"/>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10-QSB</w:t>
      </w:r>
      <w:r>
        <w:rPr>
          <w:rFonts w:ascii="Times New Roman;Times;serif" w:hAnsi="Times New Roman;Times;serif"/>
          <w:sz w:val="30"/>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(Mark One)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quarterly period ended June 30, 2005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transition period from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Number: 0-27239</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GENEMAX CORP.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t xml:space="preserve">Nevada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88-0277072</w:t>
            </w:r>
          </w:p>
        </w:tc>
      </w:tr>
      <w:tr>
        <w:trPr/>
        <w:tc>
          <w:tcPr>
            <w:tcW w:w="4844" w:type="dxa"/>
            <w:tcBorders/>
            <w:shd w:fill="auto" w:val="clear"/>
          </w:tcPr>
          <w:p>
            <w:pPr>
              <w:pStyle w:val="TableContents"/>
              <w:spacing w:before="0" w:after="283"/>
              <w:jc w:val="center"/>
              <w:rPr/>
            </w:pPr>
            <w:r>
              <w:rPr/>
              <w:t xml:space="preserve">(State of incorporation)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900 West Hastings Street, Suite 700</w:t>
        <w:br/>
        <w:t>Vancouver, British Columbia</w:t>
        <w:br/>
      </w:r>
      <w:r>
        <w:rPr>
          <w:rFonts w:ascii="Times New Roman;Times;serif" w:hAnsi="Times New Roman;Times;serif"/>
          <w:sz w:val="17"/>
          <w:u w:val="single"/>
        </w:rPr>
        <w:t>Canada V6C 1E5</w:t>
      </w:r>
      <w:r>
        <w:rPr>
          <w:rFonts w:ascii="Times New Roman;Times;serif" w:hAnsi="Times New Roman;Times;serif"/>
          <w:sz w:val="17"/>
        </w:rPr>
        <w:br/>
        <w:t>(Address of Principal Executive Offices)</w:t>
      </w:r>
    </w:p>
    <w:p>
      <w:pPr>
        <w:pStyle w:val="TextBody"/>
        <w:spacing w:before="240" w:after="283"/>
        <w:jc w:val="center"/>
        <w:rPr>
          <w:rFonts w:ascii="Times New Roman;Times;serif" w:hAnsi="Times New Roman;Times;serif"/>
          <w:sz w:val="17"/>
        </w:rPr>
      </w:pPr>
      <w:r>
        <w:rPr>
          <w:rFonts w:ascii="Times New Roman;Times;serif" w:hAnsi="Times New Roman;Times;serif"/>
          <w:sz w:val="17"/>
          <w:u w:val="single"/>
        </w:rPr>
        <w:t>(604) 331-0400</w:t>
      </w:r>
      <w:r>
        <w:rPr>
          <w:rFonts w:ascii="Times New Roman;Times;serif" w:hAnsi="Times New Roman;Times;serif"/>
          <w:sz w:val="17"/>
        </w:rPr>
        <w:br/>
        <w:t>(Issuers telephone number)</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spacing w:before="240" w:after="283"/>
        <w:jc w:val="center"/>
        <w:rPr/>
      </w:pPr>
      <w:r>
        <w:rPr/>
        <w:t xml:space="preserve">☑ </w:t>
      </w:r>
      <w:r>
        <w:rPr>
          <w:rFonts w:ascii="Times New Roman;Times;serif" w:hAnsi="Times New Roman;Times;serif"/>
          <w:sz w:val="17"/>
        </w:rPr>
        <w:t xml:space="preserve">Yes </w:t>
      </w:r>
      <w:r>
        <w:rPr>
          <w:rFonts w:ascii="Wingdings" w:hAnsi="Wingdings"/>
          <w:sz w:val="17"/>
        </w:rPr>
        <w:t>o</w:t>
      </w:r>
      <w:r>
        <w:rPr>
          <w:rFonts w:ascii="Times New Roman;Times;serif" w:hAnsi="Times New Roman;Times;serif"/>
          <w:sz w:val="17"/>
        </w:rPr>
        <w:t xml:space="preserve"> No</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Number of shares outstanding of the issuers Common Stock: </w:t>
      </w:r>
    </w:p>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vAlign w:val="bottom"/>
          </w:tcPr>
          <w:p>
            <w:pPr>
              <w:pStyle w:val="TableContents"/>
              <w:spacing w:before="0" w:after="283"/>
              <w:rPr/>
            </w:pPr>
            <w:r>
              <w:rPr/>
              <w:t> </w:t>
            </w:r>
          </w:p>
        </w:tc>
      </w:tr>
      <w:tr>
        <w:trPr/>
        <w:tc>
          <w:tcPr>
            <w:tcW w:w="4846" w:type="dxa"/>
            <w:tcBorders/>
            <w:shd w:fill="auto" w:val="clear"/>
          </w:tcPr>
          <w:p>
            <w:pPr>
              <w:pStyle w:val="TableContents"/>
              <w:spacing w:before="0" w:after="283"/>
              <w:jc w:val="center"/>
              <w:rPr/>
            </w:pPr>
            <w:r>
              <w:rPr/>
              <w:t xml:space="preserve">Class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Outstanding at August 15, 2005</w:t>
            </w:r>
          </w:p>
        </w:tc>
      </w:tr>
      <w:tr>
        <w:trPr/>
        <w:tc>
          <w:tcPr>
            <w:tcW w:w="4846"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12" w:type="dxa"/>
            <w:tcBorders/>
            <w:shd w:fill="auto" w:val="clear"/>
            <w:vAlign w:val="center"/>
          </w:tcPr>
          <w:p>
            <w:pPr>
              <w:pStyle w:val="TableContents"/>
              <w:spacing w:before="0" w:after="283"/>
              <w:rPr/>
            </w:pPr>
            <w:r>
              <w:rPr/>
              <w:t> </w:t>
            </w:r>
          </w:p>
        </w:tc>
        <w:tc>
          <w:tcPr>
            <w:tcW w:w="4847"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846" w:type="dxa"/>
            <w:tcBorders/>
            <w:shd w:fill="auto" w:val="clear"/>
          </w:tcPr>
          <w:p>
            <w:pPr>
              <w:pStyle w:val="TableContents"/>
              <w:spacing w:before="0" w:after="283"/>
              <w:jc w:val="center"/>
              <w:rPr/>
            </w:pPr>
            <w:r>
              <w:rPr/>
              <w:t xml:space="preserve">Common Stock, $0.001 par value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29,172,176</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Form 10-QSB</w:t>
        <w:br/>
        <w:t>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818"/>
        <w:gridCol w:w="483"/>
        <w:gridCol w:w="306"/>
        <w:gridCol w:w="266"/>
        <w:gridCol w:w="306"/>
        <w:gridCol w:w="26"/>
      </w:tblGrid>
      <w:tr>
        <w:trPr/>
        <w:tc>
          <w:tcPr>
            <w:tcW w:w="8818"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hyperlink w:anchor="101">
              <w:r>
                <w:rPr>
                  <w:rStyle w:val="InternetLink"/>
                </w:rPr>
                <w:t>Part I  FINANCIAL INFORMATION</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675" w:right="0" w:hanging="225"/>
              <w:rPr/>
            </w:pPr>
            <w:hyperlink w:anchor="102">
              <w:r>
                <w:rPr>
                  <w:rStyle w:val="InternetLink"/>
                </w:rPr>
                <w:t>Item 1. Interim Financial Statements</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1275" w:right="0" w:hanging="225"/>
              <w:rPr/>
            </w:pPr>
            <w:hyperlink w:anchor="103">
              <w:r>
                <w:rPr>
                  <w:rStyle w:val="InternetLink"/>
                </w:rPr>
                <w:t>Interim Consolidated Balance Sheets, June 30, 2005 (unaudited) and December 31, 2004</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1</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1500" w:right="0" w:hanging="450"/>
              <w:rPr/>
            </w:pPr>
            <w:hyperlink w:anchor="104">
              <w:r>
                <w:rPr>
                  <w:rStyle w:val="InternetLink"/>
                </w:rPr>
                <w:t>Interim Consolidated Statements of Operations for the six months and three months ended June 30, 2005 and 2004 (unaudited) and for the period from July 27, 1999 (inception) to June 30, 2005 (unaudited)</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2</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1500" w:right="0" w:hanging="450"/>
              <w:rPr/>
            </w:pPr>
            <w:hyperlink w:anchor="105">
              <w:r>
                <w:rPr>
                  <w:rStyle w:val="InternetLink"/>
                </w:rPr>
                <w:t>Interim Consolidated Statements of Cash Flows for the six months ended June 30, 2005 and 2004 (unaudited) and for the period from July 27, 1999 (inception) to June 30, 2005 (unaudited)</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3</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1275" w:right="0" w:hanging="225"/>
              <w:rPr/>
            </w:pPr>
            <w:hyperlink w:anchor="106">
              <w:r>
                <w:rPr>
                  <w:rStyle w:val="InternetLink"/>
                </w:rPr>
                <w:t>Notes to Interim Consolidated Financial Statements</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4</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675" w:right="0" w:hanging="225"/>
              <w:rPr/>
            </w:pPr>
            <w:hyperlink w:anchor="107">
              <w:r>
                <w:rPr>
                  <w:rStyle w:val="InternetLink"/>
                </w:rPr>
                <w:t>Item 2. Managements Discussion and Analysis of Financial Condition and Results of Operations</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14</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675" w:right="0" w:hanging="225"/>
              <w:rPr/>
            </w:pPr>
            <w:hyperlink w:anchor="108">
              <w:r>
                <w:rPr>
                  <w:rStyle w:val="InternetLink"/>
                </w:rPr>
                <w:t>Item 3. Controls and Procedures</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20</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hyperlink w:anchor="109">
              <w:r>
                <w:rPr>
                  <w:rStyle w:val="InternetLink"/>
                </w:rPr>
                <w:t>Part II  OTHER INFORMATION</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675" w:right="0" w:hanging="225"/>
              <w:rPr/>
            </w:pPr>
            <w:hyperlink w:anchor="110">
              <w:r>
                <w:rPr>
                  <w:rStyle w:val="InternetLink"/>
                </w:rPr>
                <w:t>Item 1. Legal Proceedings</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20</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675" w:right="0" w:hanging="225"/>
              <w:rPr/>
            </w:pPr>
            <w:hyperlink w:anchor="111">
              <w:r>
                <w:rPr>
                  <w:rStyle w:val="InternetLink"/>
                </w:rPr>
                <w:t>Item 2. Unregistered Sales of Equity Securities and Use of Proceeds</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20</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675" w:right="0" w:hanging="225"/>
              <w:rPr/>
            </w:pPr>
            <w:hyperlink w:anchor="112">
              <w:r>
                <w:rPr>
                  <w:rStyle w:val="InternetLink"/>
                </w:rPr>
                <w:t>Item 3. Defaults Upon Senior Securities</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20</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675" w:right="0" w:hanging="225"/>
              <w:rPr/>
            </w:pPr>
            <w:hyperlink w:anchor="113">
              <w:r>
                <w:rPr>
                  <w:rStyle w:val="InternetLink"/>
                </w:rPr>
                <w:t>Item 4. Submission of Matters to a Vote of Security Holders</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20</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675" w:right="0" w:hanging="225"/>
              <w:rPr/>
            </w:pPr>
            <w:hyperlink w:anchor="114">
              <w:r>
                <w:rPr>
                  <w:rStyle w:val="InternetLink"/>
                </w:rPr>
                <w:t>Item 5. Other Information</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20</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225" w:right="0" w:hanging="225"/>
              <w:rPr/>
            </w:pPr>
            <w:r>
              <w:rPr/>
              <w:t> </w:t>
            </w:r>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818" w:type="dxa"/>
            <w:tcBorders/>
            <w:shd w:fill="auto" w:val="clear"/>
            <w:vAlign w:val="bottom"/>
          </w:tcPr>
          <w:p>
            <w:pPr>
              <w:pStyle w:val="TableContents"/>
              <w:spacing w:before="0" w:after="0"/>
              <w:ind w:left="675" w:right="0" w:hanging="225"/>
              <w:rPr/>
            </w:pPr>
            <w:hyperlink w:anchor="115">
              <w:r>
                <w:rPr>
                  <w:rStyle w:val="InternetLink"/>
                </w:rPr>
                <w:t>Item 6. Exhibits</w:t>
              </w:r>
            </w:hyperlink>
          </w:p>
        </w:tc>
        <w:tc>
          <w:tcPr>
            <w:tcW w:w="4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21</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d28101exv31w1.htm">
              <w:r>
                <w:rPr>
                  <w:rStyle w:val="InternetLink"/>
                  <w:sz w:val="20"/>
                </w:rPr>
                <w:t>Certification of CEO</w:t>
              </w:r>
            </w:hyperlink>
          </w:p>
        </w:tc>
      </w:tr>
      <w:tr>
        <w:trPr/>
        <w:tc>
          <w:tcPr>
            <w:tcW w:w="10205" w:type="dxa"/>
            <w:gridSpan w:val="6"/>
            <w:tcBorders/>
            <w:shd w:fill="auto" w:val="clear"/>
            <w:vAlign w:val="center"/>
          </w:tcPr>
          <w:p>
            <w:pPr>
              <w:pStyle w:val="TableContents"/>
              <w:spacing w:before="0" w:after="283"/>
              <w:rPr/>
            </w:pPr>
            <w:r>
              <w:rPr/>
              <w:t> </w:t>
            </w:r>
            <w:hyperlink w:anchor="d28101exv31w2.htm">
              <w:r>
                <w:rPr>
                  <w:rStyle w:val="InternetLink"/>
                  <w:sz w:val="20"/>
                </w:rPr>
                <w:t>Certification of CFO</w:t>
              </w:r>
            </w:hyperlink>
          </w:p>
        </w:tc>
      </w:tr>
      <w:tr>
        <w:trPr/>
        <w:tc>
          <w:tcPr>
            <w:tcW w:w="10205" w:type="dxa"/>
            <w:gridSpan w:val="6"/>
            <w:tcBorders/>
            <w:shd w:fill="auto" w:val="clear"/>
            <w:vAlign w:val="center"/>
          </w:tcPr>
          <w:p>
            <w:pPr>
              <w:pStyle w:val="TableContents"/>
              <w:spacing w:before="0" w:after="283"/>
              <w:rPr/>
            </w:pPr>
            <w:r>
              <w:rPr/>
              <w:t> </w:t>
            </w:r>
            <w:hyperlink w:anchor="d28101exv32w1.htm">
              <w:r>
                <w:rPr>
                  <w:rStyle w:val="InternetLink"/>
                  <w:sz w:val="20"/>
                </w:rPr>
                <w:t>Certification Pursuant to Section 906</w:t>
              </w:r>
            </w:hyperlink>
          </w:p>
        </w:tc>
      </w:tr>
    </w:tbl>
    <w:p>
      <w:pPr>
        <w:pStyle w:val="TextBody"/>
        <w:spacing w:before="360" w:after="283"/>
        <w:jc w:val="center"/>
        <w:rPr/>
      </w:pPr>
      <w:r>
        <w:rPr/>
        <w:t> </w:t>
      </w:r>
      <w:r>
        <w:rPr>
          <w:rFonts w:ascii="Times New Roman;Times;serif" w:hAnsi="Times New Roman;Times;serif"/>
          <w:sz w:val="17"/>
        </w:rPr>
        <w:t xml:space="preserve">ii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4" w:name="102"/>
      <w:bookmarkEnd w:id="4"/>
      <w:r>
        <w:rPr>
          <w:rFonts w:ascii="Times New Roman;Times;serif" w:hAnsi="Times New Roman;Times;serif"/>
          <w:b/>
          <w:sz w:val="17"/>
        </w:rPr>
        <w:t>Item 1.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GENEMAX CORP.</w:t>
        <w:br/>
        <w:t>(a development stage company)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5" w:name="103"/>
      <w:bookmarkEnd w:id="5"/>
      <w:r>
        <w:rPr>
          <w:rFonts w:ascii="Times New Roman;Times;serif" w:hAnsi="Times New Roman;Times;serif"/>
          <w:b/>
          <w:sz w:val="17"/>
        </w:rPr>
        <w:t>CONSOLIDATED BALANCE SHEETS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078"/>
        <w:gridCol w:w="331"/>
        <w:gridCol w:w="298"/>
        <w:gridCol w:w="1177"/>
        <w:gridCol w:w="255"/>
        <w:gridCol w:w="331"/>
        <w:gridCol w:w="298"/>
        <w:gridCol w:w="1177"/>
        <w:gridCol w:w="260"/>
      </w:tblGrid>
      <w:tr>
        <w:trPr/>
        <w:tc>
          <w:tcPr>
            <w:tcW w:w="6078"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bottom w:val="single" w:sz="2" w:space="0" w:color="000000"/>
            </w:tcBorders>
            <w:shd w:fill="auto" w:val="clear"/>
            <w:tcMar>
              <w:bottom w:w="28" w:type="dxa"/>
            </w:tcMar>
            <w:vAlign w:val="bottom"/>
          </w:tcPr>
          <w:p>
            <w:pPr>
              <w:pStyle w:val="TableContents"/>
              <w:spacing w:before="0" w:after="283"/>
              <w:rPr/>
            </w:pPr>
            <w:r>
              <w:rPr/>
              <w:t> </w:t>
            </w:r>
          </w:p>
        </w:tc>
        <w:tc>
          <w:tcPr>
            <w:tcW w:w="331" w:type="dxa"/>
            <w:tcBorders>
              <w:bottom w:val="single" w:sz="2" w:space="0" w:color="000000"/>
            </w:tcBorders>
            <w:shd w:fill="auto" w:val="clear"/>
            <w:tcMar>
              <w:bottom w:w="28" w:type="dxa"/>
            </w:tcMar>
            <w:vAlign w:val="bottom"/>
          </w:tcPr>
          <w:p>
            <w:pPr>
              <w:pStyle w:val="TableContents"/>
              <w:spacing w:before="0" w:after="283"/>
              <w:rPr/>
            </w:pPr>
            <w:r>
              <w:rPr/>
              <w:t> </w:t>
            </w:r>
          </w:p>
        </w:tc>
        <w:tc>
          <w:tcPr>
            <w:tcW w:w="1730" w:type="dxa"/>
            <w:gridSpan w:val="3"/>
            <w:tcBorders>
              <w:bottom w:val="single" w:sz="2" w:space="0" w:color="000000"/>
            </w:tcBorders>
            <w:shd w:fill="auto" w:val="clear"/>
            <w:tcMar>
              <w:bottom w:w="28" w:type="dxa"/>
            </w:tcMar>
            <w:vAlign w:val="bottom"/>
          </w:tcPr>
          <w:p>
            <w:pPr>
              <w:pStyle w:val="TableContents"/>
              <w:spacing w:before="0" w:after="283"/>
              <w:jc w:val="center"/>
              <w:rPr/>
            </w:pPr>
            <w:r>
              <w:rPr/>
              <w:t>June 30, 2005</w:t>
            </w:r>
          </w:p>
        </w:tc>
        <w:tc>
          <w:tcPr>
            <w:tcW w:w="331" w:type="dxa"/>
            <w:tcBorders>
              <w:bottom w:val="single" w:sz="2" w:space="0" w:color="000000"/>
            </w:tcBorders>
            <w:shd w:fill="auto" w:val="clear"/>
            <w:tcMar>
              <w:bottom w:w="28" w:type="dxa"/>
            </w:tcMar>
            <w:vAlign w:val="bottom"/>
          </w:tcPr>
          <w:p>
            <w:pPr>
              <w:pStyle w:val="TableContents"/>
              <w:spacing w:before="0" w:after="283"/>
              <w:rPr/>
            </w:pPr>
            <w:r>
              <w:rPr/>
              <w:t> </w:t>
            </w:r>
          </w:p>
        </w:tc>
        <w:tc>
          <w:tcPr>
            <w:tcW w:w="1735" w:type="dxa"/>
            <w:gridSpan w:val="3"/>
            <w:tcBorders>
              <w:bottom w:val="single" w:sz="2" w:space="0" w:color="000000"/>
            </w:tcBorders>
            <w:shd w:fill="auto" w:val="clear"/>
            <w:tcMar>
              <w:bottom w:w="28" w:type="dxa"/>
            </w:tcMar>
            <w:vAlign w:val="bottom"/>
          </w:tcPr>
          <w:p>
            <w:pPr>
              <w:pStyle w:val="TableContents"/>
              <w:spacing w:before="0" w:after="283"/>
              <w:jc w:val="center"/>
              <w:rPr/>
            </w:pPr>
            <w:r>
              <w:rPr/>
              <w:t>December 31,</w:t>
              <w:br/>
              <w:t>2004</w:t>
            </w:r>
          </w:p>
        </w:tc>
      </w:tr>
      <w:tr>
        <w:trPr/>
        <w:tc>
          <w:tcPr>
            <w:tcW w:w="6078"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730" w:type="dxa"/>
            <w:gridSpan w:val="3"/>
            <w:tcBorders/>
            <w:shd w:fill="auto" w:val="clear"/>
            <w:vAlign w:val="bottom"/>
          </w:tcPr>
          <w:p>
            <w:pPr>
              <w:pStyle w:val="TableContents"/>
              <w:spacing w:before="0" w:after="283"/>
              <w:jc w:val="center"/>
              <w:rPr/>
            </w:pPr>
            <w:r>
              <w:rPr/>
              <w:t>(Unaudited)</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10205" w:type="dxa"/>
            <w:gridSpan w:val="9"/>
            <w:tcBorders/>
            <w:shd w:fill="CCEEFF" w:val="clear"/>
            <w:vAlign w:val="bottom"/>
          </w:tcPr>
          <w:p>
            <w:pPr>
              <w:pStyle w:val="TableContents"/>
              <w:spacing w:before="0" w:after="283"/>
              <w:jc w:val="center"/>
              <w:rPr>
                <w:b/>
              </w:rPr>
            </w:pPr>
            <w:r>
              <w:rPr>
                <w:b/>
              </w:rPr>
              <w:t>ASSETS</w:t>
            </w:r>
          </w:p>
        </w:tc>
      </w:tr>
      <w:tr>
        <w:trPr/>
        <w:tc>
          <w:tcPr>
            <w:tcW w:w="6078"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225" w:right="0" w:hanging="225"/>
              <w:rPr>
                <w:b/>
              </w:rPr>
            </w:pPr>
            <w:r>
              <w:rPr>
                <w:b/>
              </w:rPr>
              <w:t>CURRENT ASSETS</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675" w:right="0" w:hanging="225"/>
              <w:rPr/>
            </w:pPr>
            <w:r>
              <w:rPr/>
              <w:t>Cash</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w:t>
            </w:r>
          </w:p>
        </w:tc>
        <w:tc>
          <w:tcPr>
            <w:tcW w:w="1177" w:type="dxa"/>
            <w:tcBorders/>
            <w:shd w:fill="CCEEFF" w:val="clear"/>
            <w:vAlign w:val="bottom"/>
          </w:tcPr>
          <w:p>
            <w:pPr>
              <w:pStyle w:val="TableContents"/>
              <w:spacing w:before="0" w:after="283"/>
              <w:jc w:val="right"/>
              <w:rPr/>
            </w:pPr>
            <w:r>
              <w:rPr/>
              <w:t>202,620</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w:t>
            </w:r>
          </w:p>
        </w:tc>
        <w:tc>
          <w:tcPr>
            <w:tcW w:w="1177" w:type="dxa"/>
            <w:tcBorders/>
            <w:shd w:fill="CCEEFF" w:val="clear"/>
            <w:vAlign w:val="bottom"/>
          </w:tcPr>
          <w:p>
            <w:pPr>
              <w:pStyle w:val="TableContents"/>
              <w:spacing w:before="0" w:after="283"/>
              <w:jc w:val="right"/>
              <w:rPr/>
            </w:pPr>
            <w:r>
              <w:rPr/>
              <w:t>11,646</w:t>
            </w:r>
          </w:p>
        </w:tc>
        <w:tc>
          <w:tcPr>
            <w:tcW w:w="260" w:type="dxa"/>
            <w:tcBorders/>
            <w:shd w:fill="CCEEFF"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675" w:right="0" w:hanging="225"/>
              <w:rPr/>
            </w:pPr>
            <w:r>
              <w:rPr/>
              <w:t>Prepaids and other</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48,640</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467</w:t>
            </w:r>
          </w:p>
        </w:tc>
        <w:tc>
          <w:tcPr>
            <w:tcW w:w="260" w:type="dxa"/>
            <w:tcBorders/>
            <w:shd w:fill="auto" w:val="clear"/>
            <w:vAlign w:val="bottom"/>
          </w:tcPr>
          <w:p>
            <w:pPr>
              <w:pStyle w:val="TableContents"/>
              <w:spacing w:before="0" w:after="283"/>
              <w:rPr/>
            </w:pPr>
            <w:r>
              <w:rPr/>
              <w:t> </w:t>
            </w:r>
          </w:p>
        </w:tc>
      </w:tr>
      <w:tr>
        <w:trPr/>
        <w:tc>
          <w:tcPr>
            <w:tcW w:w="10205" w:type="dxa"/>
            <w:gridSpan w:val="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78"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225" w:right="0" w:hanging="225"/>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251,260</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12,113</w:t>
            </w:r>
          </w:p>
        </w:tc>
        <w:tc>
          <w:tcPr>
            <w:tcW w:w="260" w:type="dxa"/>
            <w:tcBorders/>
            <w:shd w:fill="CCEEFF"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225" w:right="0" w:hanging="225"/>
              <w:rPr/>
            </w:pPr>
            <w:r>
              <w:rPr>
                <w:b/>
              </w:rPr>
              <w:t>FURNITURE AND EQUIPMENT</w:t>
            </w:r>
            <w:r>
              <w:rPr/>
              <w:t>, (Note 4)</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675" w:right="0" w:hanging="225"/>
              <w:rPr/>
            </w:pPr>
            <w:r>
              <w:rPr/>
              <w:t>net of depreciation of $176,624 (2004 - $158,955)</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19,576</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35,273</w:t>
            </w:r>
          </w:p>
        </w:tc>
        <w:tc>
          <w:tcPr>
            <w:tcW w:w="260" w:type="dxa"/>
            <w:tcBorders/>
            <w:shd w:fill="CCEEFF"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225" w:right="0" w:hanging="225"/>
              <w:rPr/>
            </w:pPr>
            <w:r>
              <w:rPr>
                <w:b/>
              </w:rPr>
              <w:t xml:space="preserve">DEFERRED FINANCE FEES </w:t>
            </w:r>
            <w:r>
              <w:rPr/>
              <w:t>(Note 5)</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40,800</w:t>
            </w:r>
          </w:p>
        </w:tc>
        <w:tc>
          <w:tcPr>
            <w:tcW w:w="260" w:type="dxa"/>
            <w:tcBorders/>
            <w:shd w:fill="auto" w:val="clear"/>
            <w:vAlign w:val="bottom"/>
          </w:tcPr>
          <w:p>
            <w:pPr>
              <w:pStyle w:val="TableContents"/>
              <w:spacing w:before="0" w:after="283"/>
              <w:rPr/>
            </w:pPr>
            <w:r>
              <w:rPr/>
              <w:t> </w:t>
            </w:r>
          </w:p>
        </w:tc>
      </w:tr>
      <w:tr>
        <w:trPr/>
        <w:tc>
          <w:tcPr>
            <w:tcW w:w="10205" w:type="dxa"/>
            <w:gridSpan w:val="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78" w:type="dxa"/>
            <w:tcBorders/>
            <w:shd w:fill="CCEEFF" w:val="clear"/>
            <w:vAlign w:val="bottom"/>
          </w:tcPr>
          <w:p>
            <w:pPr>
              <w:pStyle w:val="TableContents"/>
              <w:spacing w:before="0" w:after="0"/>
              <w:ind w:left="225" w:right="0" w:hanging="225"/>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w:t>
            </w:r>
          </w:p>
        </w:tc>
        <w:tc>
          <w:tcPr>
            <w:tcW w:w="1177" w:type="dxa"/>
            <w:tcBorders/>
            <w:shd w:fill="CCEEFF" w:val="clear"/>
            <w:vAlign w:val="bottom"/>
          </w:tcPr>
          <w:p>
            <w:pPr>
              <w:pStyle w:val="TableContents"/>
              <w:spacing w:before="0" w:after="283"/>
              <w:jc w:val="right"/>
              <w:rPr/>
            </w:pPr>
            <w:r>
              <w:rPr/>
              <w:t>270,836</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w:t>
            </w:r>
          </w:p>
        </w:tc>
        <w:tc>
          <w:tcPr>
            <w:tcW w:w="1177" w:type="dxa"/>
            <w:tcBorders/>
            <w:shd w:fill="CCEEFF" w:val="clear"/>
            <w:vAlign w:val="bottom"/>
          </w:tcPr>
          <w:p>
            <w:pPr>
              <w:pStyle w:val="TableContents"/>
              <w:spacing w:before="0" w:after="283"/>
              <w:jc w:val="right"/>
              <w:rPr/>
            </w:pPr>
            <w:r>
              <w:rPr/>
              <w:t>88,186</w:t>
            </w:r>
          </w:p>
        </w:tc>
        <w:tc>
          <w:tcPr>
            <w:tcW w:w="260" w:type="dxa"/>
            <w:tcBorders/>
            <w:shd w:fill="CCEEFF" w:val="clear"/>
            <w:vAlign w:val="bottom"/>
          </w:tcPr>
          <w:p>
            <w:pPr>
              <w:pStyle w:val="TableContents"/>
              <w:spacing w:before="0" w:after="283"/>
              <w:rPr/>
            </w:pPr>
            <w:r>
              <w:rPr/>
              <w:t> </w:t>
            </w:r>
          </w:p>
        </w:tc>
      </w:tr>
      <w:tr>
        <w:trPr/>
        <w:tc>
          <w:tcPr>
            <w:tcW w:w="10205" w:type="dxa"/>
            <w:gridSpan w:val="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10205" w:type="dxa"/>
            <w:gridSpan w:val="9"/>
            <w:tcBorders/>
            <w:shd w:fill="auto" w:val="clear"/>
            <w:vAlign w:val="bottom"/>
          </w:tcPr>
          <w:p>
            <w:pPr>
              <w:pStyle w:val="TableContents"/>
              <w:spacing w:before="0" w:after="283"/>
              <w:jc w:val="center"/>
              <w:rPr>
                <w:b/>
              </w:rPr>
            </w:pPr>
            <w:r>
              <w:rPr>
                <w:b/>
              </w:rPr>
              <w:t>LIABILITIES AND STOCKHOLDERS EQUITY (DEFICIENCY)</w:t>
            </w:r>
          </w:p>
        </w:tc>
      </w:tr>
      <w:tr>
        <w:trPr/>
        <w:tc>
          <w:tcPr>
            <w:tcW w:w="6078"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225" w:right="0" w:hanging="225"/>
              <w:rPr>
                <w:b/>
              </w:rPr>
            </w:pPr>
            <w:r>
              <w:rPr>
                <w:b/>
              </w:rPr>
              <w:t>CURRENT LIABILITIES</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675" w:right="0" w:hanging="225"/>
              <w:rPr/>
            </w:pPr>
            <w:r>
              <w:rPr/>
              <w:t>Accounts payable and accrued liabilities</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w:t>
            </w:r>
          </w:p>
        </w:tc>
        <w:tc>
          <w:tcPr>
            <w:tcW w:w="1177" w:type="dxa"/>
            <w:tcBorders/>
            <w:shd w:fill="auto" w:val="clear"/>
            <w:vAlign w:val="bottom"/>
          </w:tcPr>
          <w:p>
            <w:pPr>
              <w:pStyle w:val="TableContents"/>
              <w:spacing w:before="0" w:after="283"/>
              <w:jc w:val="right"/>
              <w:rPr/>
            </w:pPr>
            <w:r>
              <w:rPr/>
              <w:t>738,391</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w:t>
            </w:r>
          </w:p>
        </w:tc>
        <w:tc>
          <w:tcPr>
            <w:tcW w:w="1177" w:type="dxa"/>
            <w:tcBorders/>
            <w:shd w:fill="auto" w:val="clear"/>
            <w:vAlign w:val="bottom"/>
          </w:tcPr>
          <w:p>
            <w:pPr>
              <w:pStyle w:val="TableContents"/>
              <w:spacing w:before="0" w:after="283"/>
              <w:jc w:val="right"/>
              <w:rPr/>
            </w:pPr>
            <w:r>
              <w:rPr/>
              <w:t>919,065</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675" w:right="0" w:hanging="225"/>
              <w:rPr/>
            </w:pPr>
            <w:r>
              <w:rPr/>
              <w:t>Research agreement obligations (Note 3)</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580,312</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808,814</w:t>
            </w:r>
          </w:p>
        </w:tc>
        <w:tc>
          <w:tcPr>
            <w:tcW w:w="260" w:type="dxa"/>
            <w:tcBorders/>
            <w:shd w:fill="CCEEFF"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675" w:right="0" w:hanging="225"/>
              <w:rPr/>
            </w:pPr>
            <w:r>
              <w:rPr/>
              <w:t>Convertible notes payable (Note 5)</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456,667</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477,100</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675" w:right="0" w:hanging="225"/>
              <w:rPr/>
            </w:pPr>
            <w:r>
              <w:rPr/>
              <w:t>Due to related parties (Note 6)</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196,183</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323,337</w:t>
            </w:r>
          </w:p>
        </w:tc>
        <w:tc>
          <w:tcPr>
            <w:tcW w:w="260" w:type="dxa"/>
            <w:tcBorders/>
            <w:shd w:fill="CCEEFF" w:val="clear"/>
            <w:vAlign w:val="bottom"/>
          </w:tcPr>
          <w:p>
            <w:pPr>
              <w:pStyle w:val="TableContents"/>
              <w:spacing w:before="0" w:after="283"/>
              <w:rPr/>
            </w:pPr>
            <w:r>
              <w:rPr/>
              <w:t> </w:t>
            </w:r>
          </w:p>
        </w:tc>
      </w:tr>
      <w:tr>
        <w:trPr/>
        <w:tc>
          <w:tcPr>
            <w:tcW w:w="10205" w:type="dxa"/>
            <w:gridSpan w:val="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78"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1,971,553</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2,528,316</w:t>
            </w:r>
          </w:p>
        </w:tc>
        <w:tc>
          <w:tcPr>
            <w:tcW w:w="260" w:type="dxa"/>
            <w:tcBorders/>
            <w:shd w:fill="auto" w:val="clear"/>
            <w:vAlign w:val="bottom"/>
          </w:tcPr>
          <w:p>
            <w:pPr>
              <w:pStyle w:val="TableContents"/>
              <w:spacing w:before="0" w:after="283"/>
              <w:rPr/>
            </w:pPr>
            <w:r>
              <w:rPr/>
              <w:t> </w:t>
            </w:r>
          </w:p>
        </w:tc>
      </w:tr>
      <w:tr>
        <w:trPr/>
        <w:tc>
          <w:tcPr>
            <w:tcW w:w="10205" w:type="dxa"/>
            <w:gridSpan w:val="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78"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225" w:right="0" w:hanging="225"/>
              <w:rPr/>
            </w:pPr>
            <w:r>
              <w:rPr>
                <w:b/>
              </w:rPr>
              <w:t xml:space="preserve">COMMITMENTS AND CONTINGENCIES </w:t>
            </w:r>
            <w:r>
              <w:rPr/>
              <w:t>(Notes 1, 3, and 6)</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225" w:right="0" w:hanging="225"/>
              <w:rPr>
                <w:b/>
              </w:rPr>
            </w:pPr>
            <w:r>
              <w:rPr>
                <w:b/>
              </w:rPr>
              <w:t>STOCKHOLDERS EQUITY (DEFICIENCY)</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675" w:right="0" w:hanging="225"/>
              <w:rPr/>
            </w:pPr>
            <w:r>
              <w:rPr/>
              <w:t>Capital stock (Note 7)</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900" w:right="0" w:hanging="225"/>
              <w:rPr/>
            </w:pPr>
            <w:r>
              <w:rPr/>
              <w:t>Common stock, $0.001 par value, 50,000,000 shares authorized 29,172,176 shares issued and outstanding (2004  20,103,875)</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29,172</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20,104</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675" w:right="0" w:hanging="225"/>
              <w:rPr/>
            </w:pPr>
            <w:r>
              <w:rPr/>
              <w:t>Additional paid-in capital</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10,379,913</w:t>
            </w:r>
          </w:p>
        </w:tc>
        <w:tc>
          <w:tcPr>
            <w:tcW w:w="25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jc w:val="right"/>
              <w:rPr/>
            </w:pPr>
            <w:r>
              <w:rPr/>
              <w:t>9,343,123</w:t>
            </w:r>
          </w:p>
        </w:tc>
        <w:tc>
          <w:tcPr>
            <w:tcW w:w="260" w:type="dxa"/>
            <w:tcBorders/>
            <w:shd w:fill="CCEEFF" w:val="clear"/>
            <w:vAlign w:val="bottom"/>
          </w:tcPr>
          <w:p>
            <w:pPr>
              <w:pStyle w:val="TableContents"/>
              <w:spacing w:before="0" w:after="283"/>
              <w:rPr/>
            </w:pPr>
            <w:r>
              <w:rPr/>
              <w:t> </w:t>
            </w:r>
          </w:p>
        </w:tc>
      </w:tr>
      <w:tr>
        <w:trPr/>
        <w:tc>
          <w:tcPr>
            <w:tcW w:w="6078" w:type="dxa"/>
            <w:tcBorders/>
            <w:shd w:fill="auto" w:val="clear"/>
            <w:vAlign w:val="bottom"/>
          </w:tcPr>
          <w:p>
            <w:pPr>
              <w:pStyle w:val="TableContents"/>
              <w:spacing w:before="0" w:after="0"/>
              <w:ind w:left="675" w:right="0" w:hanging="225"/>
              <w:rPr/>
            </w:pPr>
            <w:r>
              <w:rPr/>
              <w:t>Common stock purchase warrants</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857,656</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695,200</w:t>
            </w:r>
          </w:p>
        </w:tc>
        <w:tc>
          <w:tcPr>
            <w:tcW w:w="260" w:type="dxa"/>
            <w:tcBorders/>
            <w:shd w:fill="auto" w:val="clear"/>
            <w:vAlign w:val="bottom"/>
          </w:tcPr>
          <w:p>
            <w:pPr>
              <w:pStyle w:val="TableContents"/>
              <w:spacing w:before="0" w:after="283"/>
              <w:rPr/>
            </w:pPr>
            <w:r>
              <w:rPr/>
              <w:t> </w:t>
            </w:r>
          </w:p>
        </w:tc>
      </w:tr>
      <w:tr>
        <w:trPr/>
        <w:tc>
          <w:tcPr>
            <w:tcW w:w="6078" w:type="dxa"/>
            <w:tcBorders/>
            <w:shd w:fill="CCEEFF" w:val="clear"/>
            <w:vAlign w:val="bottom"/>
          </w:tcPr>
          <w:p>
            <w:pPr>
              <w:pStyle w:val="TableContents"/>
              <w:spacing w:before="0" w:after="0"/>
              <w:ind w:left="675" w:right="0" w:hanging="225"/>
              <w:rPr/>
            </w:pPr>
            <w:r>
              <w:rPr/>
              <w:t>Deficit accumulated during the development stage</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 </w:t>
            </w:r>
          </w:p>
        </w:tc>
        <w:tc>
          <w:tcPr>
            <w:tcW w:w="1177" w:type="dxa"/>
            <w:tcBorders/>
            <w:shd w:fill="CCEEFF" w:val="clear"/>
            <w:vAlign w:val="bottom"/>
          </w:tcPr>
          <w:p>
            <w:pPr>
              <w:pStyle w:val="TableContents"/>
              <w:spacing w:before="0" w:after="283"/>
              <w:jc w:val="right"/>
              <w:rPr/>
            </w:pPr>
            <w:r>
              <w:rPr/>
              <w:t>(12,919,397</w:t>
            </w:r>
          </w:p>
        </w:tc>
        <w:tc>
          <w:tcPr>
            <w:tcW w:w="255"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 </w:t>
            </w:r>
          </w:p>
        </w:tc>
        <w:tc>
          <w:tcPr>
            <w:tcW w:w="1177" w:type="dxa"/>
            <w:tcBorders/>
            <w:shd w:fill="CCEEFF" w:val="clear"/>
            <w:vAlign w:val="bottom"/>
          </w:tcPr>
          <w:p>
            <w:pPr>
              <w:pStyle w:val="TableContents"/>
              <w:spacing w:before="0" w:after="283"/>
              <w:jc w:val="right"/>
              <w:rPr/>
            </w:pPr>
            <w:r>
              <w:rPr/>
              <w:t>(12,434,770</w:t>
            </w:r>
          </w:p>
        </w:tc>
        <w:tc>
          <w:tcPr>
            <w:tcW w:w="260" w:type="dxa"/>
            <w:tcBorders/>
            <w:shd w:fill="CCEEFF" w:val="clear"/>
            <w:vAlign w:val="bottom"/>
          </w:tcPr>
          <w:p>
            <w:pPr>
              <w:pStyle w:val="TableContents"/>
              <w:spacing w:before="0" w:after="283"/>
              <w:rPr/>
            </w:pPr>
            <w:r>
              <w:rPr/>
              <w:t>)</w:t>
            </w:r>
          </w:p>
        </w:tc>
      </w:tr>
      <w:tr>
        <w:trPr/>
        <w:tc>
          <w:tcPr>
            <w:tcW w:w="6078" w:type="dxa"/>
            <w:tcBorders/>
            <w:shd w:fill="auto" w:val="clear"/>
            <w:vAlign w:val="bottom"/>
          </w:tcPr>
          <w:p>
            <w:pPr>
              <w:pStyle w:val="TableContents"/>
              <w:spacing w:before="0" w:after="0"/>
              <w:ind w:left="675" w:right="0" w:hanging="225"/>
              <w:rPr/>
            </w:pPr>
            <w:r>
              <w:rPr/>
              <w:t>Accumulated other comprehensive income (loss)</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 </w:t>
            </w:r>
          </w:p>
        </w:tc>
        <w:tc>
          <w:tcPr>
            <w:tcW w:w="1177" w:type="dxa"/>
            <w:tcBorders/>
            <w:shd w:fill="auto" w:val="clear"/>
            <w:vAlign w:val="bottom"/>
          </w:tcPr>
          <w:p>
            <w:pPr>
              <w:pStyle w:val="TableContents"/>
              <w:spacing w:before="0" w:after="283"/>
              <w:jc w:val="right"/>
              <w:rPr/>
            </w:pPr>
            <w:r>
              <w:rPr/>
              <w:t>(48,061</w:t>
            </w:r>
          </w:p>
        </w:tc>
        <w:tc>
          <w:tcPr>
            <w:tcW w:w="255"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 </w:t>
            </w:r>
          </w:p>
        </w:tc>
        <w:tc>
          <w:tcPr>
            <w:tcW w:w="1177" w:type="dxa"/>
            <w:tcBorders/>
            <w:shd w:fill="auto" w:val="clear"/>
            <w:vAlign w:val="bottom"/>
          </w:tcPr>
          <w:p>
            <w:pPr>
              <w:pStyle w:val="TableContents"/>
              <w:spacing w:before="0" w:after="283"/>
              <w:jc w:val="right"/>
              <w:rPr/>
            </w:pPr>
            <w:r>
              <w:rPr/>
              <w:t>(63,787</w:t>
            </w:r>
          </w:p>
        </w:tc>
        <w:tc>
          <w:tcPr>
            <w:tcW w:w="260" w:type="dxa"/>
            <w:tcBorders/>
            <w:shd w:fill="auto" w:val="clear"/>
            <w:vAlign w:val="bottom"/>
          </w:tcPr>
          <w:p>
            <w:pPr>
              <w:pStyle w:val="TableContents"/>
              <w:spacing w:before="0" w:after="283"/>
              <w:rPr/>
            </w:pPr>
            <w:r>
              <w:rPr/>
              <w:t>)</w:t>
            </w:r>
          </w:p>
        </w:tc>
      </w:tr>
      <w:tr>
        <w:trPr/>
        <w:tc>
          <w:tcPr>
            <w:tcW w:w="10205" w:type="dxa"/>
            <w:gridSpan w:val="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78" w:type="dxa"/>
            <w:tcBorders/>
            <w:shd w:fill="CCEEFF" w:val="clear"/>
            <w:vAlign w:val="bottom"/>
          </w:tcPr>
          <w:p>
            <w:pPr>
              <w:pStyle w:val="TableContents"/>
              <w:spacing w:before="0" w:after="0"/>
              <w:ind w:left="225" w:right="0" w:hanging="225"/>
              <w:rPr/>
            </w:pPr>
            <w:r>
              <w:rPr/>
              <w:t> </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 </w:t>
            </w:r>
          </w:p>
        </w:tc>
        <w:tc>
          <w:tcPr>
            <w:tcW w:w="1177" w:type="dxa"/>
            <w:tcBorders/>
            <w:shd w:fill="CCEEFF" w:val="clear"/>
            <w:vAlign w:val="bottom"/>
          </w:tcPr>
          <w:p>
            <w:pPr>
              <w:pStyle w:val="TableContents"/>
              <w:spacing w:before="0" w:after="283"/>
              <w:jc w:val="right"/>
              <w:rPr/>
            </w:pPr>
            <w:r>
              <w:rPr/>
              <w:t>(1,700,717</w:t>
            </w:r>
          </w:p>
        </w:tc>
        <w:tc>
          <w:tcPr>
            <w:tcW w:w="255"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right"/>
              <w:rPr/>
            </w:pPr>
            <w:r>
              <w:rPr/>
              <w:t> </w:t>
            </w:r>
          </w:p>
        </w:tc>
        <w:tc>
          <w:tcPr>
            <w:tcW w:w="1177" w:type="dxa"/>
            <w:tcBorders/>
            <w:shd w:fill="CCEEFF" w:val="clear"/>
            <w:vAlign w:val="bottom"/>
          </w:tcPr>
          <w:p>
            <w:pPr>
              <w:pStyle w:val="TableContents"/>
              <w:spacing w:before="0" w:after="283"/>
              <w:jc w:val="right"/>
              <w:rPr/>
            </w:pPr>
            <w:r>
              <w:rPr/>
              <w:t>(2,440,130</w:t>
            </w:r>
          </w:p>
        </w:tc>
        <w:tc>
          <w:tcPr>
            <w:tcW w:w="260" w:type="dxa"/>
            <w:tcBorders/>
            <w:shd w:fill="CCEEFF" w:val="clear"/>
            <w:vAlign w:val="bottom"/>
          </w:tcPr>
          <w:p>
            <w:pPr>
              <w:pStyle w:val="TableContents"/>
              <w:spacing w:before="0" w:after="283"/>
              <w:rPr/>
            </w:pPr>
            <w:r>
              <w:rPr/>
              <w:t>)</w:t>
            </w:r>
          </w:p>
        </w:tc>
      </w:tr>
      <w:tr>
        <w:trPr/>
        <w:tc>
          <w:tcPr>
            <w:tcW w:w="10205" w:type="dxa"/>
            <w:gridSpan w:val="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78" w:type="dxa"/>
            <w:tcBorders/>
            <w:shd w:fill="auto" w:val="clear"/>
            <w:vAlign w:val="bottom"/>
          </w:tcPr>
          <w:p>
            <w:pPr>
              <w:pStyle w:val="TableContents"/>
              <w:spacing w:before="0" w:after="0"/>
              <w:ind w:left="225" w:right="0" w:hanging="225"/>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w:t>
            </w:r>
          </w:p>
        </w:tc>
        <w:tc>
          <w:tcPr>
            <w:tcW w:w="1177" w:type="dxa"/>
            <w:tcBorders/>
            <w:shd w:fill="auto" w:val="clear"/>
            <w:vAlign w:val="bottom"/>
          </w:tcPr>
          <w:p>
            <w:pPr>
              <w:pStyle w:val="TableContents"/>
              <w:spacing w:before="0" w:after="283"/>
              <w:jc w:val="right"/>
              <w:rPr/>
            </w:pPr>
            <w:r>
              <w:rPr/>
              <w:t>270,836</w:t>
            </w:r>
          </w:p>
        </w:tc>
        <w:tc>
          <w:tcPr>
            <w:tcW w:w="25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w:t>
            </w:r>
          </w:p>
        </w:tc>
        <w:tc>
          <w:tcPr>
            <w:tcW w:w="1177" w:type="dxa"/>
            <w:tcBorders/>
            <w:shd w:fill="auto" w:val="clear"/>
            <w:vAlign w:val="bottom"/>
          </w:tcPr>
          <w:p>
            <w:pPr>
              <w:pStyle w:val="TableContents"/>
              <w:spacing w:before="0" w:after="283"/>
              <w:jc w:val="right"/>
              <w:rPr/>
            </w:pPr>
            <w:r>
              <w:rPr/>
              <w:t>88,186</w:t>
            </w:r>
          </w:p>
        </w:tc>
        <w:tc>
          <w:tcPr>
            <w:tcW w:w="260" w:type="dxa"/>
            <w:tcBorders/>
            <w:shd w:fill="auto" w:val="clear"/>
            <w:vAlign w:val="bottom"/>
          </w:tcPr>
          <w:p>
            <w:pPr>
              <w:pStyle w:val="TableContents"/>
              <w:spacing w:before="0" w:after="283"/>
              <w:rPr/>
            </w:pPr>
            <w:r>
              <w:rPr/>
              <w:t> </w:t>
            </w:r>
          </w:p>
        </w:tc>
      </w:tr>
      <w:tr>
        <w:trPr/>
        <w:tc>
          <w:tcPr>
            <w:tcW w:w="10205" w:type="dxa"/>
            <w:gridSpan w:val="9"/>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interim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- 1 -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GENEMAX CORP.</w:t>
        <w:br/>
        <w:t>(a development stage company)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6" w:name="104"/>
      <w:bookmarkEnd w:id="6"/>
      <w:r>
        <w:rPr>
          <w:rFonts w:ascii="Times New Roman;Times;serif" w:hAnsi="Times New Roman;Times;serif"/>
          <w:b/>
          <w:sz w:val="17"/>
        </w:rPr>
        <w:t>INTERIM CONSOLIDATED STATEMENTS OF OPERATIONS</w:t>
        <w:br/>
        <w:t>(Unaudited)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187"/>
        <w:gridCol w:w="134"/>
        <w:gridCol w:w="190"/>
        <w:gridCol w:w="1163"/>
        <w:gridCol w:w="143"/>
        <w:gridCol w:w="136"/>
        <w:gridCol w:w="190"/>
        <w:gridCol w:w="1163"/>
        <w:gridCol w:w="147"/>
        <w:gridCol w:w="134"/>
        <w:gridCol w:w="183"/>
        <w:gridCol w:w="1101"/>
        <w:gridCol w:w="138"/>
        <w:gridCol w:w="134"/>
        <w:gridCol w:w="183"/>
        <w:gridCol w:w="1101"/>
        <w:gridCol w:w="138"/>
        <w:gridCol w:w="134"/>
        <w:gridCol w:w="183"/>
        <w:gridCol w:w="1174"/>
        <w:gridCol w:w="149"/>
      </w:tblGrid>
      <w:tr>
        <w:trPr/>
        <w:tc>
          <w:tcPr>
            <w:tcW w:w="218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506" w:type="dxa"/>
            <w:gridSpan w:val="3"/>
            <w:tcBorders/>
            <w:shd w:fill="auto" w:val="clear"/>
            <w:vAlign w:val="bottom"/>
          </w:tcPr>
          <w:p>
            <w:pPr>
              <w:pStyle w:val="TableContents"/>
              <w:spacing w:before="0" w:after="283"/>
              <w:jc w:val="center"/>
              <w:rPr/>
            </w:pPr>
            <w:r>
              <w:rPr/>
              <w:t>July 27, 1999</w:t>
            </w:r>
          </w:p>
        </w:tc>
      </w:tr>
      <w:tr>
        <w:trPr/>
        <w:tc>
          <w:tcPr>
            <w:tcW w:w="218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132" w:type="dxa"/>
            <w:gridSpan w:val="7"/>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134" w:type="dxa"/>
            <w:tcBorders/>
            <w:shd w:fill="auto" w:val="clear"/>
            <w:vAlign w:val="bottom"/>
          </w:tcPr>
          <w:p>
            <w:pPr>
              <w:pStyle w:val="TableContents"/>
              <w:spacing w:before="0" w:after="283"/>
              <w:rPr/>
            </w:pPr>
            <w:r>
              <w:rPr/>
              <w:t> </w:t>
            </w:r>
          </w:p>
        </w:tc>
        <w:tc>
          <w:tcPr>
            <w:tcW w:w="2978" w:type="dxa"/>
            <w:gridSpan w:val="7"/>
            <w:tcBorders>
              <w:bottom w:val="single" w:sz="2" w:space="0" w:color="000000"/>
            </w:tcBorders>
            <w:shd w:fill="auto" w:val="clear"/>
            <w:tcMar>
              <w:bottom w:w="28" w:type="dxa"/>
            </w:tcMar>
            <w:vAlign w:val="bottom"/>
          </w:tcPr>
          <w:p>
            <w:pPr>
              <w:pStyle w:val="TableContents"/>
              <w:spacing w:before="0" w:after="283"/>
              <w:jc w:val="center"/>
              <w:rPr/>
            </w:pPr>
            <w:r>
              <w:rPr/>
              <w:t>Six months ended June 30</w:t>
            </w:r>
          </w:p>
        </w:tc>
        <w:tc>
          <w:tcPr>
            <w:tcW w:w="134" w:type="dxa"/>
            <w:tcBorders/>
            <w:shd w:fill="auto" w:val="clear"/>
            <w:vAlign w:val="bottom"/>
          </w:tcPr>
          <w:p>
            <w:pPr>
              <w:pStyle w:val="TableContents"/>
              <w:spacing w:before="0" w:after="283"/>
              <w:rPr/>
            </w:pPr>
            <w:r>
              <w:rPr/>
              <w:t> </w:t>
            </w:r>
          </w:p>
        </w:tc>
        <w:tc>
          <w:tcPr>
            <w:tcW w:w="1506" w:type="dxa"/>
            <w:gridSpan w:val="3"/>
            <w:tcBorders/>
            <w:shd w:fill="auto" w:val="clear"/>
            <w:vAlign w:val="bottom"/>
          </w:tcPr>
          <w:p>
            <w:pPr>
              <w:pStyle w:val="TableContents"/>
              <w:spacing w:before="0" w:after="283"/>
              <w:jc w:val="center"/>
              <w:rPr/>
            </w:pPr>
            <w:r>
              <w:rPr/>
              <w:t>(inception) to</w:t>
            </w:r>
          </w:p>
        </w:tc>
      </w:tr>
      <w:tr>
        <w:trPr/>
        <w:tc>
          <w:tcPr>
            <w:tcW w:w="218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496" w:type="dxa"/>
            <w:gridSpan w:val="3"/>
            <w:tcBorders/>
            <w:shd w:fill="auto" w:val="clear"/>
            <w:vAlign w:val="bottom"/>
          </w:tcPr>
          <w:p>
            <w:pPr>
              <w:pStyle w:val="TableContents"/>
              <w:spacing w:before="0" w:after="283"/>
              <w:jc w:val="center"/>
              <w:rPr/>
            </w:pPr>
            <w:r>
              <w:rPr/>
              <w:t>2005</w:t>
            </w:r>
          </w:p>
        </w:tc>
        <w:tc>
          <w:tcPr>
            <w:tcW w:w="136" w:type="dxa"/>
            <w:tcBorders/>
            <w:shd w:fill="auto" w:val="clear"/>
            <w:vAlign w:val="bottom"/>
          </w:tcPr>
          <w:p>
            <w:pPr>
              <w:pStyle w:val="TableContents"/>
              <w:spacing w:before="0" w:after="283"/>
              <w:rPr/>
            </w:pPr>
            <w:r>
              <w:rPr/>
              <w:t> </w:t>
            </w:r>
          </w:p>
        </w:tc>
        <w:tc>
          <w:tcPr>
            <w:tcW w:w="1500" w:type="dxa"/>
            <w:gridSpan w:val="3"/>
            <w:tcBorders/>
            <w:shd w:fill="auto" w:val="clear"/>
            <w:vAlign w:val="bottom"/>
          </w:tcPr>
          <w:p>
            <w:pPr>
              <w:pStyle w:val="TableContents"/>
              <w:spacing w:before="0" w:after="283"/>
              <w:jc w:val="center"/>
              <w:rPr/>
            </w:pPr>
            <w:r>
              <w:rPr/>
              <w:t>2004</w:t>
            </w:r>
          </w:p>
        </w:tc>
        <w:tc>
          <w:tcPr>
            <w:tcW w:w="134" w:type="dxa"/>
            <w:tcBorders/>
            <w:shd w:fill="auto" w:val="clear"/>
            <w:vAlign w:val="bottom"/>
          </w:tcPr>
          <w:p>
            <w:pPr>
              <w:pStyle w:val="TableContents"/>
              <w:spacing w:before="0" w:after="283"/>
              <w:rPr/>
            </w:pPr>
            <w:r>
              <w:rPr/>
              <w:t> </w:t>
            </w:r>
          </w:p>
        </w:tc>
        <w:tc>
          <w:tcPr>
            <w:tcW w:w="1422" w:type="dxa"/>
            <w:gridSpan w:val="3"/>
            <w:tcBorders/>
            <w:shd w:fill="auto" w:val="clear"/>
            <w:vAlign w:val="bottom"/>
          </w:tcPr>
          <w:p>
            <w:pPr>
              <w:pStyle w:val="TableContents"/>
              <w:spacing w:before="0" w:after="283"/>
              <w:jc w:val="center"/>
              <w:rPr/>
            </w:pPr>
            <w:r>
              <w:rPr/>
              <w:t>2005</w:t>
            </w:r>
          </w:p>
        </w:tc>
        <w:tc>
          <w:tcPr>
            <w:tcW w:w="134" w:type="dxa"/>
            <w:tcBorders/>
            <w:shd w:fill="auto" w:val="clear"/>
            <w:vAlign w:val="bottom"/>
          </w:tcPr>
          <w:p>
            <w:pPr>
              <w:pStyle w:val="TableContents"/>
              <w:spacing w:before="0" w:after="283"/>
              <w:rPr/>
            </w:pPr>
            <w:r>
              <w:rPr/>
              <w:t> </w:t>
            </w:r>
          </w:p>
        </w:tc>
        <w:tc>
          <w:tcPr>
            <w:tcW w:w="1422" w:type="dxa"/>
            <w:gridSpan w:val="3"/>
            <w:tcBorders/>
            <w:shd w:fill="auto" w:val="clear"/>
            <w:vAlign w:val="bottom"/>
          </w:tcPr>
          <w:p>
            <w:pPr>
              <w:pStyle w:val="TableContents"/>
              <w:spacing w:before="0" w:after="283"/>
              <w:jc w:val="center"/>
              <w:rPr/>
            </w:pPr>
            <w:r>
              <w:rPr/>
              <w:t>2004</w:t>
            </w:r>
          </w:p>
        </w:tc>
        <w:tc>
          <w:tcPr>
            <w:tcW w:w="134" w:type="dxa"/>
            <w:tcBorders/>
            <w:shd w:fill="auto" w:val="clear"/>
            <w:vAlign w:val="bottom"/>
          </w:tcPr>
          <w:p>
            <w:pPr>
              <w:pStyle w:val="TableContents"/>
              <w:spacing w:before="0" w:after="283"/>
              <w:rPr/>
            </w:pPr>
            <w:r>
              <w:rPr/>
              <w:t> </w:t>
            </w:r>
          </w:p>
        </w:tc>
        <w:tc>
          <w:tcPr>
            <w:tcW w:w="1506" w:type="dxa"/>
            <w:gridSpan w:val="3"/>
            <w:tcBorders/>
            <w:shd w:fill="auto" w:val="clear"/>
            <w:vAlign w:val="bottom"/>
          </w:tcPr>
          <w:p>
            <w:pPr>
              <w:pStyle w:val="TableContents"/>
              <w:spacing w:before="0" w:after="283"/>
              <w:jc w:val="center"/>
              <w:rPr/>
            </w:pPr>
            <w:r>
              <w:rPr/>
              <w:t>June 30, 2005</w:t>
            </w:r>
          </w:p>
        </w:tc>
      </w:tr>
      <w:tr>
        <w:trPr/>
        <w:tc>
          <w:tcPr>
            <w:tcW w:w="10205" w:type="dxa"/>
            <w:gridSpan w:val="2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187" w:type="dxa"/>
            <w:tcBorders/>
            <w:shd w:fill="CCEEFF" w:val="clear"/>
            <w:vAlign w:val="bottom"/>
          </w:tcPr>
          <w:p>
            <w:pPr>
              <w:pStyle w:val="TableContents"/>
              <w:spacing w:before="0" w:after="0"/>
              <w:ind w:left="225" w:right="0" w:hanging="225"/>
              <w:rPr>
                <w:b/>
              </w:rPr>
            </w:pPr>
            <w:r>
              <w:rPr>
                <w:b/>
              </w:rPr>
              <w:t>INTEREST INCOME</w:t>
            </w:r>
          </w:p>
        </w:tc>
        <w:tc>
          <w:tcPr>
            <w:tcW w:w="13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right"/>
              <w:rPr/>
            </w:pPr>
            <w:r>
              <w:rPr/>
              <w:t>$</w:t>
            </w:r>
          </w:p>
        </w:tc>
        <w:tc>
          <w:tcPr>
            <w:tcW w:w="1163" w:type="dxa"/>
            <w:tcBorders/>
            <w:shd w:fill="CCEEFF" w:val="clear"/>
            <w:vAlign w:val="bottom"/>
          </w:tcPr>
          <w:p>
            <w:pPr>
              <w:pStyle w:val="TableContents"/>
              <w:spacing w:before="0" w:after="283"/>
              <w:jc w:val="right"/>
              <w:rPr/>
            </w:pPr>
            <w:r>
              <w:rPr/>
              <w:t>2,846</w:t>
            </w:r>
          </w:p>
        </w:tc>
        <w:tc>
          <w:tcPr>
            <w:tcW w:w="14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right"/>
              <w:rPr/>
            </w:pPr>
            <w:r>
              <w:rPr/>
              <w:t>$</w:t>
            </w:r>
          </w:p>
        </w:tc>
        <w:tc>
          <w:tcPr>
            <w:tcW w:w="1163" w:type="dxa"/>
            <w:tcBorders/>
            <w:shd w:fill="CCEEFF" w:val="clear"/>
            <w:vAlign w:val="bottom"/>
          </w:tcPr>
          <w:p>
            <w:pPr>
              <w:pStyle w:val="TableContents"/>
              <w:spacing w:before="0" w:after="283"/>
              <w:jc w:val="right"/>
              <w:rPr/>
            </w:pPr>
            <w:r>
              <w:rPr/>
              <w:t></w:t>
            </w:r>
          </w:p>
        </w:tc>
        <w:tc>
          <w:tcPr>
            <w:tcW w:w="14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right"/>
              <w:rPr/>
            </w:pPr>
            <w:r>
              <w:rPr/>
              <w:t>$</w:t>
            </w:r>
          </w:p>
        </w:tc>
        <w:tc>
          <w:tcPr>
            <w:tcW w:w="1101" w:type="dxa"/>
            <w:tcBorders/>
            <w:shd w:fill="CCEEFF" w:val="clear"/>
            <w:vAlign w:val="bottom"/>
          </w:tcPr>
          <w:p>
            <w:pPr>
              <w:pStyle w:val="TableContents"/>
              <w:spacing w:before="0" w:after="283"/>
              <w:jc w:val="right"/>
              <w:rPr/>
            </w:pPr>
            <w:r>
              <w:rPr/>
              <w:t>2,846</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right"/>
              <w:rPr/>
            </w:pPr>
            <w:r>
              <w:rPr/>
              <w:t>$</w:t>
            </w:r>
          </w:p>
        </w:tc>
        <w:tc>
          <w:tcPr>
            <w:tcW w:w="1101"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right"/>
              <w:rPr/>
            </w:pPr>
            <w:r>
              <w:rPr/>
              <w:t>$</w:t>
            </w:r>
          </w:p>
        </w:tc>
        <w:tc>
          <w:tcPr>
            <w:tcW w:w="1174" w:type="dxa"/>
            <w:tcBorders/>
            <w:shd w:fill="CCEEFF" w:val="clear"/>
            <w:vAlign w:val="bottom"/>
          </w:tcPr>
          <w:p>
            <w:pPr>
              <w:pStyle w:val="TableContents"/>
              <w:spacing w:before="0" w:after="283"/>
              <w:jc w:val="right"/>
              <w:rPr/>
            </w:pPr>
            <w:r>
              <w:rPr/>
              <w:t>29,417</w:t>
            </w:r>
          </w:p>
        </w:tc>
        <w:tc>
          <w:tcPr>
            <w:tcW w:w="149" w:type="dxa"/>
            <w:tcBorders/>
            <w:shd w:fill="CCEEFF" w:val="clear"/>
            <w:vAlign w:val="bottom"/>
          </w:tcPr>
          <w:p>
            <w:pPr>
              <w:pStyle w:val="TableContents"/>
              <w:spacing w:before="0" w:after="283"/>
              <w:rPr/>
            </w:pPr>
            <w:r>
              <w:rPr/>
              <w:t> </w:t>
            </w:r>
          </w:p>
        </w:tc>
      </w:tr>
      <w:tr>
        <w:trPr/>
        <w:tc>
          <w:tcPr>
            <w:tcW w:w="10205" w:type="dxa"/>
            <w:gridSpan w:val="2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187" w:type="dxa"/>
            <w:tcBorders/>
            <w:shd w:fill="auto" w:val="clear"/>
            <w:vAlign w:val="bottom"/>
          </w:tcPr>
          <w:p>
            <w:pPr>
              <w:pStyle w:val="TableContents"/>
              <w:spacing w:before="0" w:after="0"/>
              <w:ind w:left="225" w:right="0" w:hanging="225"/>
              <w:rPr/>
            </w:pPr>
            <w:r>
              <w:rPr/>
              <w:t> </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0"/>
              <w:ind w:left="225" w:right="0" w:hanging="225"/>
              <w:rPr>
                <w:b/>
              </w:rPr>
            </w:pPr>
            <w:r>
              <w:rPr>
                <w:b/>
              </w:rPr>
              <w:t>EXPENSES</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2187" w:type="dxa"/>
            <w:tcBorders/>
            <w:shd w:fill="CCEEFF" w:val="clear"/>
            <w:vAlign w:val="bottom"/>
          </w:tcPr>
          <w:p>
            <w:pPr>
              <w:pStyle w:val="TableContents"/>
              <w:spacing w:before="0" w:after="0"/>
              <w:ind w:left="675" w:right="0" w:hanging="225"/>
              <w:rPr/>
            </w:pPr>
            <w:r>
              <w:rPr/>
              <w:t>Consulting fees</w:t>
            </w:r>
          </w:p>
        </w:tc>
        <w:tc>
          <w:tcPr>
            <w:tcW w:w="13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2,193</w:t>
            </w:r>
          </w:p>
        </w:tc>
        <w:tc>
          <w:tcPr>
            <w:tcW w:w="14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3,000</w:t>
            </w:r>
          </w:p>
        </w:tc>
        <w:tc>
          <w:tcPr>
            <w:tcW w:w="14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14,088</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14,832</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636,388</w:t>
            </w:r>
          </w:p>
        </w:tc>
        <w:tc>
          <w:tcPr>
            <w:tcW w:w="149" w:type="dxa"/>
            <w:tcBorders/>
            <w:shd w:fill="CCEEFF"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0"/>
              <w:ind w:left="675" w:right="0" w:hanging="225"/>
              <w:rPr/>
            </w:pPr>
            <w:r>
              <w:rPr/>
              <w:t>Consulting fees  stock-based</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14,375</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26,250</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2,824,775</w:t>
            </w:r>
          </w:p>
        </w:tc>
        <w:tc>
          <w:tcPr>
            <w:tcW w:w="149" w:type="dxa"/>
            <w:tcBorders/>
            <w:shd w:fill="auto" w:val="clear"/>
            <w:vAlign w:val="bottom"/>
          </w:tcPr>
          <w:p>
            <w:pPr>
              <w:pStyle w:val="TableContents"/>
              <w:spacing w:before="0" w:after="283"/>
              <w:rPr/>
            </w:pPr>
            <w:r>
              <w:rPr/>
              <w:t> </w:t>
            </w:r>
          </w:p>
        </w:tc>
      </w:tr>
      <w:tr>
        <w:trPr/>
        <w:tc>
          <w:tcPr>
            <w:tcW w:w="2187" w:type="dxa"/>
            <w:tcBorders/>
            <w:shd w:fill="CCEEFF" w:val="clear"/>
            <w:vAlign w:val="bottom"/>
          </w:tcPr>
          <w:p>
            <w:pPr>
              <w:pStyle w:val="TableContents"/>
              <w:spacing w:before="0" w:after="0"/>
              <w:ind w:left="675" w:right="0" w:hanging="225"/>
              <w:rPr/>
            </w:pPr>
            <w:r>
              <w:rPr/>
              <w:t>Depreciation</w:t>
            </w:r>
          </w:p>
        </w:tc>
        <w:tc>
          <w:tcPr>
            <w:tcW w:w="13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8,916</w:t>
            </w:r>
          </w:p>
        </w:tc>
        <w:tc>
          <w:tcPr>
            <w:tcW w:w="14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9,733</w:t>
            </w:r>
          </w:p>
        </w:tc>
        <w:tc>
          <w:tcPr>
            <w:tcW w:w="14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17,669</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19,801</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176,624</w:t>
            </w:r>
          </w:p>
        </w:tc>
        <w:tc>
          <w:tcPr>
            <w:tcW w:w="149" w:type="dxa"/>
            <w:tcBorders/>
            <w:shd w:fill="CCEEFF"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0"/>
              <w:ind w:left="675" w:right="0" w:hanging="225"/>
              <w:rPr/>
            </w:pPr>
            <w:r>
              <w:rPr/>
              <w:t>Gain on settlement of debts (Note 6)</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right"/>
              <w:rPr/>
            </w:pPr>
            <w:r>
              <w:rPr/>
              <w:t> </w:t>
            </w:r>
          </w:p>
        </w:tc>
        <w:tc>
          <w:tcPr>
            <w:tcW w:w="1101" w:type="dxa"/>
            <w:tcBorders/>
            <w:shd w:fill="auto" w:val="clear"/>
            <w:vAlign w:val="bottom"/>
          </w:tcPr>
          <w:p>
            <w:pPr>
              <w:pStyle w:val="TableContents"/>
              <w:spacing w:before="0" w:after="283"/>
              <w:jc w:val="right"/>
              <w:rPr/>
            </w:pPr>
            <w:r>
              <w:rPr/>
              <w:t>(142,549</w:t>
            </w:r>
          </w:p>
        </w:tc>
        <w:tc>
          <w:tcPr>
            <w:tcW w:w="138" w:type="dxa"/>
            <w:tcBorders/>
            <w:shd w:fill="auto" w:val="clear"/>
            <w:vAlign w:val="bottom"/>
          </w:tcPr>
          <w:p>
            <w:pPr>
              <w:pStyle w:val="TableContents"/>
              <w:spacing w:before="0" w:after="283"/>
              <w:rPr/>
            </w:pPr>
            <w:r>
              <w:rPr/>
              <w:t>)</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right"/>
              <w:rPr/>
            </w:pPr>
            <w:r>
              <w:rPr/>
              <w:t> </w:t>
            </w:r>
          </w:p>
        </w:tc>
        <w:tc>
          <w:tcPr>
            <w:tcW w:w="1174" w:type="dxa"/>
            <w:tcBorders/>
            <w:shd w:fill="auto" w:val="clear"/>
            <w:vAlign w:val="bottom"/>
          </w:tcPr>
          <w:p>
            <w:pPr>
              <w:pStyle w:val="TableContents"/>
              <w:spacing w:before="0" w:after="283"/>
              <w:jc w:val="right"/>
              <w:rPr/>
            </w:pPr>
            <w:r>
              <w:rPr/>
              <w:t>(142,549</w:t>
            </w:r>
          </w:p>
        </w:tc>
        <w:tc>
          <w:tcPr>
            <w:tcW w:w="149" w:type="dxa"/>
            <w:tcBorders/>
            <w:shd w:fill="auto" w:val="clear"/>
            <w:vAlign w:val="bottom"/>
          </w:tcPr>
          <w:p>
            <w:pPr>
              <w:pStyle w:val="TableContents"/>
              <w:spacing w:before="0" w:after="283"/>
              <w:rPr/>
            </w:pPr>
            <w:r>
              <w:rPr/>
              <w:t>)</w:t>
            </w:r>
          </w:p>
        </w:tc>
      </w:tr>
      <w:tr>
        <w:trPr/>
        <w:tc>
          <w:tcPr>
            <w:tcW w:w="2187" w:type="dxa"/>
            <w:tcBorders/>
            <w:shd w:fill="CCEEFF" w:val="clear"/>
            <w:vAlign w:val="bottom"/>
          </w:tcPr>
          <w:p>
            <w:pPr>
              <w:pStyle w:val="TableContents"/>
              <w:spacing w:before="0" w:after="0"/>
              <w:ind w:left="675" w:right="0" w:hanging="225"/>
              <w:rPr/>
            </w:pPr>
            <w:r>
              <w:rPr/>
              <w:t>License fees</w:t>
            </w:r>
          </w:p>
        </w:tc>
        <w:tc>
          <w:tcPr>
            <w:tcW w:w="13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w:t>
            </w:r>
          </w:p>
        </w:tc>
        <w:tc>
          <w:tcPr>
            <w:tcW w:w="14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214</w:t>
            </w:r>
          </w:p>
        </w:tc>
        <w:tc>
          <w:tcPr>
            <w:tcW w:w="14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61,454</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328,800</w:t>
            </w:r>
          </w:p>
        </w:tc>
        <w:tc>
          <w:tcPr>
            <w:tcW w:w="149" w:type="dxa"/>
            <w:tcBorders/>
            <w:shd w:fill="CCEEFF"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0"/>
              <w:ind w:left="675" w:right="0" w:hanging="225"/>
              <w:rPr/>
            </w:pPr>
            <w:r>
              <w:rPr/>
              <w:t>Management fees and salaries</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45,444</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39,078</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79,765</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106,940</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1,056,843</w:t>
            </w:r>
          </w:p>
        </w:tc>
        <w:tc>
          <w:tcPr>
            <w:tcW w:w="149" w:type="dxa"/>
            <w:tcBorders/>
            <w:shd w:fill="auto" w:val="clear"/>
            <w:vAlign w:val="bottom"/>
          </w:tcPr>
          <w:p>
            <w:pPr>
              <w:pStyle w:val="TableContents"/>
              <w:spacing w:before="0" w:after="283"/>
              <w:rPr/>
            </w:pPr>
            <w:r>
              <w:rPr/>
              <w:t> </w:t>
            </w:r>
          </w:p>
        </w:tc>
      </w:tr>
      <w:tr>
        <w:trPr/>
        <w:tc>
          <w:tcPr>
            <w:tcW w:w="2187" w:type="dxa"/>
            <w:tcBorders/>
            <w:shd w:fill="CCEEFF" w:val="clear"/>
            <w:vAlign w:val="bottom"/>
          </w:tcPr>
          <w:p>
            <w:pPr>
              <w:pStyle w:val="TableContents"/>
              <w:spacing w:before="0" w:after="0"/>
              <w:ind w:left="675" w:right="0" w:hanging="225"/>
              <w:rPr/>
            </w:pPr>
            <w:r>
              <w:rPr/>
              <w:t>Office and general</w:t>
            </w:r>
          </w:p>
        </w:tc>
        <w:tc>
          <w:tcPr>
            <w:tcW w:w="13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63,284</w:t>
            </w:r>
          </w:p>
        </w:tc>
        <w:tc>
          <w:tcPr>
            <w:tcW w:w="14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64,451</w:t>
            </w:r>
          </w:p>
        </w:tc>
        <w:tc>
          <w:tcPr>
            <w:tcW w:w="14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124,793</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153,031</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1,639,664</w:t>
            </w:r>
          </w:p>
        </w:tc>
        <w:tc>
          <w:tcPr>
            <w:tcW w:w="149" w:type="dxa"/>
            <w:tcBorders/>
            <w:shd w:fill="CCEEFF"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0"/>
              <w:ind w:left="675" w:right="0" w:hanging="225"/>
              <w:rPr/>
            </w:pPr>
            <w:r>
              <w:rPr/>
              <w:t>Professional fees</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94,973</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147,326</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124,404</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258,052</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1,433,046</w:t>
            </w:r>
          </w:p>
        </w:tc>
        <w:tc>
          <w:tcPr>
            <w:tcW w:w="149" w:type="dxa"/>
            <w:tcBorders/>
            <w:shd w:fill="auto" w:val="clear"/>
            <w:vAlign w:val="bottom"/>
          </w:tcPr>
          <w:p>
            <w:pPr>
              <w:pStyle w:val="TableContents"/>
              <w:spacing w:before="0" w:after="283"/>
              <w:rPr/>
            </w:pPr>
            <w:r>
              <w:rPr/>
              <w:t> </w:t>
            </w:r>
          </w:p>
        </w:tc>
      </w:tr>
      <w:tr>
        <w:trPr/>
        <w:tc>
          <w:tcPr>
            <w:tcW w:w="2187" w:type="dxa"/>
            <w:tcBorders/>
            <w:shd w:fill="CCEEFF" w:val="clear"/>
            <w:vAlign w:val="bottom"/>
          </w:tcPr>
          <w:p>
            <w:pPr>
              <w:pStyle w:val="TableContents"/>
              <w:spacing w:before="0" w:after="0"/>
              <w:ind w:left="675" w:right="0" w:hanging="225"/>
              <w:rPr/>
            </w:pPr>
            <w:r>
              <w:rPr/>
              <w:t>Research and development</w:t>
            </w:r>
          </w:p>
        </w:tc>
        <w:tc>
          <w:tcPr>
            <w:tcW w:w="13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235,105</w:t>
            </w:r>
          </w:p>
        </w:tc>
        <w:tc>
          <w:tcPr>
            <w:tcW w:w="14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232,384</w:t>
            </w:r>
          </w:p>
        </w:tc>
        <w:tc>
          <w:tcPr>
            <w:tcW w:w="14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250,099</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483,984</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3,936,835</w:t>
            </w:r>
          </w:p>
        </w:tc>
        <w:tc>
          <w:tcPr>
            <w:tcW w:w="149" w:type="dxa"/>
            <w:tcBorders/>
            <w:shd w:fill="CCEEFF"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0"/>
              <w:ind w:left="675" w:right="0" w:hanging="225"/>
              <w:rPr/>
            </w:pPr>
            <w:r>
              <w:rPr/>
              <w:t>Research and development  stock-based</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612,000</w:t>
            </w:r>
          </w:p>
        </w:tc>
        <w:tc>
          <w:tcPr>
            <w:tcW w:w="149" w:type="dxa"/>
            <w:tcBorders/>
            <w:shd w:fill="auto" w:val="clear"/>
            <w:vAlign w:val="bottom"/>
          </w:tcPr>
          <w:p>
            <w:pPr>
              <w:pStyle w:val="TableContents"/>
              <w:spacing w:before="0" w:after="283"/>
              <w:rPr/>
            </w:pPr>
            <w:r>
              <w:rPr/>
              <w:t> </w:t>
            </w:r>
          </w:p>
        </w:tc>
      </w:tr>
      <w:tr>
        <w:trPr/>
        <w:tc>
          <w:tcPr>
            <w:tcW w:w="2187" w:type="dxa"/>
            <w:tcBorders/>
            <w:shd w:fill="CCEEFF" w:val="clear"/>
            <w:vAlign w:val="bottom"/>
          </w:tcPr>
          <w:p>
            <w:pPr>
              <w:pStyle w:val="TableContents"/>
              <w:spacing w:before="0" w:after="0"/>
              <w:ind w:left="675" w:right="0" w:hanging="225"/>
              <w:rPr/>
            </w:pPr>
            <w:r>
              <w:rPr/>
              <w:t>Transfer agent</w:t>
            </w:r>
          </w:p>
        </w:tc>
        <w:tc>
          <w:tcPr>
            <w:tcW w:w="13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11,648</w:t>
            </w:r>
          </w:p>
        </w:tc>
        <w:tc>
          <w:tcPr>
            <w:tcW w:w="14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8,115</w:t>
            </w:r>
          </w:p>
        </w:tc>
        <w:tc>
          <w:tcPr>
            <w:tcW w:w="14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12,925</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12,949</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242,044</w:t>
            </w:r>
          </w:p>
        </w:tc>
        <w:tc>
          <w:tcPr>
            <w:tcW w:w="149" w:type="dxa"/>
            <w:tcBorders/>
            <w:shd w:fill="CCEEFF"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0"/>
              <w:ind w:left="675" w:right="0" w:hanging="225"/>
              <w:rPr/>
            </w:pPr>
            <w:r>
              <w:rPr/>
              <w:t>Travel</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970</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2,645</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6,279</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53,102</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204,344</w:t>
            </w:r>
          </w:p>
        </w:tc>
        <w:tc>
          <w:tcPr>
            <w:tcW w:w="149" w:type="dxa"/>
            <w:tcBorders/>
            <w:shd w:fill="auto" w:val="clear"/>
            <w:vAlign w:val="bottom"/>
          </w:tcPr>
          <w:p>
            <w:pPr>
              <w:pStyle w:val="TableContents"/>
              <w:spacing w:before="0" w:after="283"/>
              <w:rPr/>
            </w:pPr>
            <w:r>
              <w:rPr/>
              <w:t> </w:t>
            </w:r>
          </w:p>
        </w:tc>
      </w:tr>
      <w:tr>
        <w:trPr/>
        <w:tc>
          <w:tcPr>
            <w:tcW w:w="10205" w:type="dxa"/>
            <w:gridSpan w:val="2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187" w:type="dxa"/>
            <w:tcBorders/>
            <w:shd w:fill="CCEEFF" w:val="clear"/>
            <w:vAlign w:val="bottom"/>
          </w:tcPr>
          <w:p>
            <w:pPr>
              <w:pStyle w:val="TableContents"/>
              <w:spacing w:before="0" w:after="0"/>
              <w:ind w:left="225" w:right="0" w:hanging="225"/>
              <w:rPr/>
            </w:pPr>
            <w:r>
              <w:rPr/>
              <w:t> </w:t>
            </w:r>
          </w:p>
        </w:tc>
        <w:tc>
          <w:tcPr>
            <w:tcW w:w="13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462,533</w:t>
            </w:r>
          </w:p>
        </w:tc>
        <w:tc>
          <w:tcPr>
            <w:tcW w:w="14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521,321</w:t>
            </w:r>
          </w:p>
        </w:tc>
        <w:tc>
          <w:tcPr>
            <w:tcW w:w="14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(487,473</w:t>
            </w:r>
          </w:p>
        </w:tc>
        <w:tc>
          <w:tcPr>
            <w:tcW w:w="138" w:type="dxa"/>
            <w:tcBorders/>
            <w:shd w:fill="CCEEFF" w:val="clear"/>
            <w:vAlign w:val="bottom"/>
          </w:tcPr>
          <w:p>
            <w:pPr>
              <w:pStyle w:val="TableContents"/>
              <w:spacing w:before="0" w:after="283"/>
              <w:rPr/>
            </w:pPr>
            <w:r>
              <w:rPr/>
              <w:t>)</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1,190,395</w:t>
            </w:r>
          </w:p>
        </w:tc>
        <w:tc>
          <w:tcPr>
            <w:tcW w:w="13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12,948,814</w:t>
            </w:r>
          </w:p>
        </w:tc>
        <w:tc>
          <w:tcPr>
            <w:tcW w:w="149" w:type="dxa"/>
            <w:tcBorders/>
            <w:shd w:fill="CCEEFF" w:val="clear"/>
            <w:vAlign w:val="bottom"/>
          </w:tcPr>
          <w:p>
            <w:pPr>
              <w:pStyle w:val="TableContents"/>
              <w:spacing w:before="0" w:after="283"/>
              <w:rPr/>
            </w:pPr>
            <w:r>
              <w:rPr/>
              <w:t> </w:t>
            </w:r>
          </w:p>
        </w:tc>
      </w:tr>
      <w:tr>
        <w:trPr/>
        <w:tc>
          <w:tcPr>
            <w:tcW w:w="10205" w:type="dxa"/>
            <w:gridSpan w:val="2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187" w:type="dxa"/>
            <w:tcBorders/>
            <w:shd w:fill="auto" w:val="clear"/>
            <w:vAlign w:val="bottom"/>
          </w:tcPr>
          <w:p>
            <w:pPr>
              <w:pStyle w:val="TableContents"/>
              <w:spacing w:before="0" w:after="0"/>
              <w:ind w:left="225" w:right="0" w:hanging="225"/>
              <w:rPr/>
            </w:pPr>
            <w:r>
              <w:rPr/>
              <w:t> </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0"/>
              <w:ind w:left="225" w:right="0" w:hanging="225"/>
              <w:rPr>
                <w:b/>
              </w:rPr>
            </w:pPr>
            <w:r>
              <w:rPr>
                <w:b/>
              </w:rPr>
              <w:t>NET LOSS FOR THE PERIOD</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w:t>
            </w:r>
          </w:p>
        </w:tc>
        <w:tc>
          <w:tcPr>
            <w:tcW w:w="1163" w:type="dxa"/>
            <w:tcBorders/>
            <w:shd w:fill="auto" w:val="clear"/>
            <w:vAlign w:val="bottom"/>
          </w:tcPr>
          <w:p>
            <w:pPr>
              <w:pStyle w:val="TableContents"/>
              <w:spacing w:before="0" w:after="283"/>
              <w:jc w:val="right"/>
              <w:rPr/>
            </w:pPr>
            <w:r>
              <w:rPr/>
              <w:t>(459,687</w:t>
            </w:r>
          </w:p>
        </w:tc>
        <w:tc>
          <w:tcPr>
            <w:tcW w:w="143" w:type="dxa"/>
            <w:tcBorders/>
            <w:shd w:fill="auto" w:val="clear"/>
            <w:vAlign w:val="bottom"/>
          </w:tcPr>
          <w:p>
            <w:pPr>
              <w:pStyle w:val="TableContents"/>
              <w:spacing w:before="0" w:after="283"/>
              <w:rPr/>
            </w:pPr>
            <w:r>
              <w:rPr/>
              <w:t>)</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w:t>
            </w:r>
          </w:p>
        </w:tc>
        <w:tc>
          <w:tcPr>
            <w:tcW w:w="1163" w:type="dxa"/>
            <w:tcBorders/>
            <w:shd w:fill="auto" w:val="clear"/>
            <w:vAlign w:val="bottom"/>
          </w:tcPr>
          <w:p>
            <w:pPr>
              <w:pStyle w:val="TableContents"/>
              <w:spacing w:before="0" w:after="283"/>
              <w:jc w:val="right"/>
              <w:rPr/>
            </w:pPr>
            <w:r>
              <w:rPr/>
              <w:t>(521,321</w:t>
            </w:r>
          </w:p>
        </w:tc>
        <w:tc>
          <w:tcPr>
            <w:tcW w:w="147" w:type="dxa"/>
            <w:tcBorders/>
            <w:shd w:fill="auto" w:val="clear"/>
            <w:vAlign w:val="bottom"/>
          </w:tcPr>
          <w:p>
            <w:pPr>
              <w:pStyle w:val="TableContents"/>
              <w:spacing w:before="0" w:after="283"/>
              <w:rPr/>
            </w:pPr>
            <w:r>
              <w:rPr/>
              <w:t>)</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right"/>
              <w:rPr/>
            </w:pPr>
            <w:r>
              <w:rPr/>
              <w:t>$</w:t>
            </w:r>
          </w:p>
        </w:tc>
        <w:tc>
          <w:tcPr>
            <w:tcW w:w="1101" w:type="dxa"/>
            <w:tcBorders/>
            <w:shd w:fill="auto" w:val="clear"/>
            <w:vAlign w:val="bottom"/>
          </w:tcPr>
          <w:p>
            <w:pPr>
              <w:pStyle w:val="TableContents"/>
              <w:spacing w:before="0" w:after="283"/>
              <w:jc w:val="right"/>
              <w:rPr/>
            </w:pPr>
            <w:r>
              <w:rPr/>
              <w:t>(484,627</w:t>
            </w:r>
          </w:p>
        </w:tc>
        <w:tc>
          <w:tcPr>
            <w:tcW w:w="138" w:type="dxa"/>
            <w:tcBorders/>
            <w:shd w:fill="auto" w:val="clear"/>
            <w:vAlign w:val="bottom"/>
          </w:tcPr>
          <w:p>
            <w:pPr>
              <w:pStyle w:val="TableContents"/>
              <w:spacing w:before="0" w:after="283"/>
              <w:rPr/>
            </w:pPr>
            <w:r>
              <w:rPr/>
              <w:t>)</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right"/>
              <w:rPr/>
            </w:pPr>
            <w:r>
              <w:rPr/>
              <w:t>$</w:t>
            </w:r>
          </w:p>
        </w:tc>
        <w:tc>
          <w:tcPr>
            <w:tcW w:w="1101" w:type="dxa"/>
            <w:tcBorders/>
            <w:shd w:fill="auto" w:val="clear"/>
            <w:vAlign w:val="bottom"/>
          </w:tcPr>
          <w:p>
            <w:pPr>
              <w:pStyle w:val="TableContents"/>
              <w:spacing w:before="0" w:after="283"/>
              <w:jc w:val="right"/>
              <w:rPr/>
            </w:pPr>
            <w:r>
              <w:rPr/>
              <w:t>(1,190,395</w:t>
            </w:r>
          </w:p>
        </w:tc>
        <w:tc>
          <w:tcPr>
            <w:tcW w:w="138" w:type="dxa"/>
            <w:tcBorders/>
            <w:shd w:fill="auto" w:val="clear"/>
            <w:vAlign w:val="bottom"/>
          </w:tcPr>
          <w:p>
            <w:pPr>
              <w:pStyle w:val="TableContents"/>
              <w:spacing w:before="0" w:after="283"/>
              <w:rPr/>
            </w:pPr>
            <w:r>
              <w:rPr/>
              <w:t>)</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right"/>
              <w:rPr/>
            </w:pPr>
            <w:r>
              <w:rPr/>
              <w:t>$</w:t>
            </w:r>
          </w:p>
        </w:tc>
        <w:tc>
          <w:tcPr>
            <w:tcW w:w="1174" w:type="dxa"/>
            <w:tcBorders/>
            <w:shd w:fill="auto" w:val="clear"/>
            <w:vAlign w:val="bottom"/>
          </w:tcPr>
          <w:p>
            <w:pPr>
              <w:pStyle w:val="TableContents"/>
              <w:spacing w:before="0" w:after="283"/>
              <w:jc w:val="right"/>
              <w:rPr/>
            </w:pPr>
            <w:r>
              <w:rPr/>
              <w:t>(12,919,397</w:t>
            </w:r>
          </w:p>
        </w:tc>
        <w:tc>
          <w:tcPr>
            <w:tcW w:w="149" w:type="dxa"/>
            <w:tcBorders/>
            <w:shd w:fill="auto" w:val="clear"/>
            <w:vAlign w:val="bottom"/>
          </w:tcPr>
          <w:p>
            <w:pPr>
              <w:pStyle w:val="TableContents"/>
              <w:spacing w:before="0" w:after="283"/>
              <w:rPr/>
            </w:pPr>
            <w:r>
              <w:rPr/>
              <w:t>)</w:t>
            </w:r>
          </w:p>
        </w:tc>
      </w:tr>
      <w:tr>
        <w:trPr/>
        <w:tc>
          <w:tcPr>
            <w:tcW w:w="10205" w:type="dxa"/>
            <w:gridSpan w:val="2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2187" w:type="dxa"/>
            <w:tcBorders/>
            <w:shd w:fill="auto" w:val="clear"/>
            <w:vAlign w:val="bottom"/>
          </w:tcPr>
          <w:p>
            <w:pPr>
              <w:pStyle w:val="TableContents"/>
              <w:spacing w:before="0" w:after="0"/>
              <w:ind w:left="225" w:right="0" w:hanging="225"/>
              <w:rPr/>
            </w:pPr>
            <w:r>
              <w:rPr/>
              <w:t> </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2187" w:type="dxa"/>
            <w:tcBorders/>
            <w:shd w:fill="CCEEFF" w:val="clear"/>
            <w:vAlign w:val="bottom"/>
          </w:tcPr>
          <w:p>
            <w:pPr>
              <w:pStyle w:val="TableContents"/>
              <w:spacing w:before="0" w:after="0"/>
              <w:ind w:left="225" w:right="0" w:hanging="225"/>
              <w:rPr>
                <w:b/>
              </w:rPr>
            </w:pPr>
            <w:r>
              <w:rPr>
                <w:b/>
              </w:rPr>
              <w:t>BASIC NET LOSS PER SHARE</w:t>
            </w:r>
          </w:p>
        </w:tc>
        <w:tc>
          <w:tcPr>
            <w:tcW w:w="13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right"/>
              <w:rPr/>
            </w:pPr>
            <w:r>
              <w:rPr/>
              <w:t>$</w:t>
            </w:r>
          </w:p>
        </w:tc>
        <w:tc>
          <w:tcPr>
            <w:tcW w:w="1163" w:type="dxa"/>
            <w:tcBorders/>
            <w:shd w:fill="CCEEFF" w:val="clear"/>
            <w:vAlign w:val="bottom"/>
          </w:tcPr>
          <w:p>
            <w:pPr>
              <w:pStyle w:val="TableContents"/>
              <w:spacing w:before="0" w:after="283"/>
              <w:jc w:val="right"/>
              <w:rPr/>
            </w:pPr>
            <w:r>
              <w:rPr/>
              <w:t>(0.02</w:t>
            </w:r>
          </w:p>
        </w:tc>
        <w:tc>
          <w:tcPr>
            <w:tcW w:w="143" w:type="dxa"/>
            <w:tcBorders/>
            <w:shd w:fill="CCEEFF" w:val="clear"/>
            <w:vAlign w:val="bottom"/>
          </w:tcPr>
          <w:p>
            <w:pPr>
              <w:pStyle w:val="TableContents"/>
              <w:spacing w:before="0" w:after="283"/>
              <w:rPr/>
            </w:pPr>
            <w:r>
              <w:rPr/>
              <w:t>)</w:t>
            </w:r>
          </w:p>
        </w:tc>
        <w:tc>
          <w:tcPr>
            <w:tcW w:w="13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right"/>
              <w:rPr/>
            </w:pPr>
            <w:r>
              <w:rPr/>
              <w:t>$</w:t>
            </w:r>
          </w:p>
        </w:tc>
        <w:tc>
          <w:tcPr>
            <w:tcW w:w="1163" w:type="dxa"/>
            <w:tcBorders/>
            <w:shd w:fill="CCEEFF" w:val="clear"/>
            <w:vAlign w:val="bottom"/>
          </w:tcPr>
          <w:p>
            <w:pPr>
              <w:pStyle w:val="TableContents"/>
              <w:spacing w:before="0" w:after="283"/>
              <w:jc w:val="right"/>
              <w:rPr/>
            </w:pPr>
            <w:r>
              <w:rPr/>
              <w:t>(0.03</w:t>
            </w:r>
          </w:p>
        </w:tc>
        <w:tc>
          <w:tcPr>
            <w:tcW w:w="147" w:type="dxa"/>
            <w:tcBorders/>
            <w:shd w:fill="CCEEFF" w:val="clear"/>
            <w:vAlign w:val="bottom"/>
          </w:tcPr>
          <w:p>
            <w:pPr>
              <w:pStyle w:val="TableContents"/>
              <w:spacing w:before="0" w:after="283"/>
              <w:rPr/>
            </w:pPr>
            <w:r>
              <w:rPr/>
              <w:t>)</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right"/>
              <w:rPr/>
            </w:pPr>
            <w:r>
              <w:rPr/>
              <w:t>$</w:t>
            </w:r>
          </w:p>
        </w:tc>
        <w:tc>
          <w:tcPr>
            <w:tcW w:w="1101" w:type="dxa"/>
            <w:tcBorders/>
            <w:shd w:fill="CCEEFF" w:val="clear"/>
            <w:vAlign w:val="bottom"/>
          </w:tcPr>
          <w:p>
            <w:pPr>
              <w:pStyle w:val="TableContents"/>
              <w:spacing w:before="0" w:after="283"/>
              <w:jc w:val="right"/>
              <w:rPr/>
            </w:pPr>
            <w:r>
              <w:rPr/>
              <w:t>(0.02</w:t>
            </w:r>
          </w:p>
        </w:tc>
        <w:tc>
          <w:tcPr>
            <w:tcW w:w="138" w:type="dxa"/>
            <w:tcBorders/>
            <w:shd w:fill="CCEEFF" w:val="clear"/>
            <w:vAlign w:val="bottom"/>
          </w:tcPr>
          <w:p>
            <w:pPr>
              <w:pStyle w:val="TableContents"/>
              <w:spacing w:before="0" w:after="283"/>
              <w:rPr/>
            </w:pPr>
            <w:r>
              <w:rPr/>
              <w:t>)</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right"/>
              <w:rPr/>
            </w:pPr>
            <w:r>
              <w:rPr/>
              <w:t>$</w:t>
            </w:r>
          </w:p>
        </w:tc>
        <w:tc>
          <w:tcPr>
            <w:tcW w:w="1101" w:type="dxa"/>
            <w:tcBorders/>
            <w:shd w:fill="CCEEFF" w:val="clear"/>
            <w:vAlign w:val="bottom"/>
          </w:tcPr>
          <w:p>
            <w:pPr>
              <w:pStyle w:val="TableContents"/>
              <w:spacing w:before="0" w:after="283"/>
              <w:jc w:val="right"/>
              <w:rPr/>
            </w:pPr>
            <w:r>
              <w:rPr/>
              <w:t>(0.06</w:t>
            </w:r>
          </w:p>
        </w:tc>
        <w:tc>
          <w:tcPr>
            <w:tcW w:w="138" w:type="dxa"/>
            <w:tcBorders/>
            <w:shd w:fill="CCEEFF" w:val="clear"/>
            <w:vAlign w:val="bottom"/>
          </w:tcPr>
          <w:p>
            <w:pPr>
              <w:pStyle w:val="TableContents"/>
              <w:spacing w:before="0" w:after="283"/>
              <w:rPr/>
            </w:pPr>
            <w:r>
              <w:rPr/>
              <w:t>)</w:t>
            </w:r>
          </w:p>
        </w:tc>
        <w:tc>
          <w:tcPr>
            <w:tcW w:w="13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r>
      <w:tr>
        <w:trPr/>
        <w:tc>
          <w:tcPr>
            <w:tcW w:w="8565" w:type="dxa"/>
            <w:gridSpan w:val="17"/>
            <w:tcBorders>
              <w:top w:val="double" w:sz="6" w:space="0" w:color="000000"/>
            </w:tcBorders>
            <w:shd w:fill="auto" w:val="clear"/>
            <w:tcMar>
              <w:top w:w="28" w:type="dxa"/>
            </w:tcMar>
            <w:vAlign w:val="center"/>
          </w:tcPr>
          <w:p>
            <w:pPr>
              <w:pStyle w:val="TableContents"/>
              <w:spacing w:before="0" w:after="283"/>
              <w:jc w:val="left"/>
              <w:rPr/>
            </w:pPr>
            <w:r>
              <w:rPr/>
              <w:t> </w:t>
            </w:r>
          </w:p>
        </w:tc>
        <w:tc>
          <w:tcPr>
            <w:tcW w:w="134"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174"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r>
      <w:tr>
        <w:trPr/>
        <w:tc>
          <w:tcPr>
            <w:tcW w:w="2187" w:type="dxa"/>
            <w:tcBorders/>
            <w:shd w:fill="auto" w:val="clear"/>
            <w:vAlign w:val="bottom"/>
          </w:tcPr>
          <w:p>
            <w:pPr>
              <w:pStyle w:val="TableContents"/>
              <w:spacing w:before="0" w:after="0"/>
              <w:ind w:left="225" w:right="0" w:hanging="225"/>
              <w:rPr/>
            </w:pPr>
            <w:r>
              <w:rPr/>
              <w:t> </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2187" w:type="dxa"/>
            <w:tcBorders/>
            <w:shd w:fill="auto" w:val="clear"/>
            <w:vAlign w:val="bottom"/>
          </w:tcPr>
          <w:p>
            <w:pPr>
              <w:pStyle w:val="TableContents"/>
              <w:spacing w:before="0" w:after="0"/>
              <w:ind w:left="225" w:right="0" w:hanging="225"/>
              <w:rPr>
                <w:b/>
              </w:rPr>
            </w:pPr>
            <w:r>
              <w:rPr>
                <w:b/>
              </w:rPr>
              <w:t>WEIGHTED AVERAGE COMMON SHARES OUTSTANDING</w:t>
            </w:r>
          </w:p>
        </w:tc>
        <w:tc>
          <w:tcPr>
            <w:tcW w:w="13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29,172,174</w:t>
            </w:r>
          </w:p>
        </w:tc>
        <w:tc>
          <w:tcPr>
            <w:tcW w:w="1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20,098,820</w:t>
            </w:r>
          </w:p>
        </w:tc>
        <w:tc>
          <w:tcPr>
            <w:tcW w:w="14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27,268,332</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19,763,890</w:t>
            </w:r>
          </w:p>
        </w:tc>
        <w:tc>
          <w:tcPr>
            <w:tcW w:w="1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8565" w:type="dxa"/>
            <w:gridSpan w:val="17"/>
            <w:tcBorders>
              <w:top w:val="double" w:sz="6" w:space="0" w:color="000000"/>
            </w:tcBorders>
            <w:shd w:fill="auto" w:val="clear"/>
            <w:tcMar>
              <w:top w:w="28" w:type="dxa"/>
            </w:tcMar>
            <w:vAlign w:val="center"/>
          </w:tcPr>
          <w:p>
            <w:pPr>
              <w:pStyle w:val="TableContents"/>
              <w:spacing w:before="0" w:after="283"/>
              <w:jc w:val="left"/>
              <w:rPr/>
            </w:pPr>
            <w:r>
              <w:rPr/>
              <w:t> </w:t>
            </w:r>
          </w:p>
        </w:tc>
        <w:tc>
          <w:tcPr>
            <w:tcW w:w="134"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174"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interim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- 2 -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GENEMAX CORP.</w:t>
        <w:br/>
        <w:t>(a development stage company)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7" w:name="105"/>
      <w:bookmarkEnd w:id="7"/>
      <w:r>
        <w:rPr>
          <w:rFonts w:ascii="Times New Roman;Times;serif" w:hAnsi="Times New Roman;Times;serif"/>
          <w:b/>
          <w:sz w:val="17"/>
        </w:rPr>
        <w:t>INTERIM CONSOLIDATED STATEMENTS OF CASH FLOWS</w:t>
        <w:br/>
        <w:t>(Unaudited)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626"/>
        <w:gridCol w:w="282"/>
        <w:gridCol w:w="270"/>
        <w:gridCol w:w="994"/>
        <w:gridCol w:w="226"/>
        <w:gridCol w:w="282"/>
        <w:gridCol w:w="270"/>
        <w:gridCol w:w="1067"/>
        <w:gridCol w:w="229"/>
        <w:gridCol w:w="281"/>
        <w:gridCol w:w="269"/>
        <w:gridCol w:w="1175"/>
        <w:gridCol w:w="234"/>
      </w:tblGrid>
      <w:tr>
        <w:trPr/>
        <w:tc>
          <w:tcPr>
            <w:tcW w:w="46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678" w:type="dxa"/>
            <w:gridSpan w:val="3"/>
            <w:tcBorders/>
            <w:shd w:fill="auto" w:val="clear"/>
            <w:vAlign w:val="bottom"/>
          </w:tcPr>
          <w:p>
            <w:pPr>
              <w:pStyle w:val="TableContents"/>
              <w:spacing w:before="0" w:after="283"/>
              <w:jc w:val="center"/>
              <w:rPr/>
            </w:pPr>
            <w:r>
              <w:rPr/>
              <w:t>July 27, 1999</w:t>
            </w:r>
          </w:p>
        </w:tc>
      </w:tr>
      <w:tr>
        <w:trPr/>
        <w:tc>
          <w:tcPr>
            <w:tcW w:w="46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678" w:type="dxa"/>
            <w:gridSpan w:val="3"/>
            <w:tcBorders/>
            <w:shd w:fill="auto" w:val="clear"/>
            <w:vAlign w:val="bottom"/>
          </w:tcPr>
          <w:p>
            <w:pPr>
              <w:pStyle w:val="TableContents"/>
              <w:spacing w:before="0" w:after="283"/>
              <w:jc w:val="center"/>
              <w:rPr/>
            </w:pPr>
            <w:r>
              <w:rPr/>
              <w:t>(inception) to</w:t>
            </w:r>
          </w:p>
        </w:tc>
      </w:tr>
      <w:tr>
        <w:trPr/>
        <w:tc>
          <w:tcPr>
            <w:tcW w:w="46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38" w:type="dxa"/>
            <w:gridSpan w:val="7"/>
            <w:tcBorders>
              <w:bottom w:val="single" w:sz="2" w:space="0" w:color="000000"/>
            </w:tcBorders>
            <w:shd w:fill="auto" w:val="clear"/>
            <w:tcMar>
              <w:bottom w:w="28" w:type="dxa"/>
            </w:tcMar>
            <w:vAlign w:val="bottom"/>
          </w:tcPr>
          <w:p>
            <w:pPr>
              <w:pStyle w:val="TableContents"/>
              <w:spacing w:before="0" w:after="283"/>
              <w:jc w:val="center"/>
              <w:rPr/>
            </w:pPr>
            <w:r>
              <w:rPr/>
              <w:t>Six Months Ended June 30</w:t>
            </w:r>
          </w:p>
        </w:tc>
        <w:tc>
          <w:tcPr>
            <w:tcW w:w="281" w:type="dxa"/>
            <w:tcBorders/>
            <w:shd w:fill="auto" w:val="clear"/>
            <w:vAlign w:val="bottom"/>
          </w:tcPr>
          <w:p>
            <w:pPr>
              <w:pStyle w:val="TableContents"/>
              <w:spacing w:before="0" w:after="283"/>
              <w:rPr/>
            </w:pPr>
            <w:r>
              <w:rPr/>
              <w:t> </w:t>
            </w:r>
          </w:p>
        </w:tc>
        <w:tc>
          <w:tcPr>
            <w:tcW w:w="1678" w:type="dxa"/>
            <w:gridSpan w:val="3"/>
            <w:tcBorders/>
            <w:shd w:fill="auto" w:val="clear"/>
            <w:vAlign w:val="bottom"/>
          </w:tcPr>
          <w:p>
            <w:pPr>
              <w:pStyle w:val="TableContents"/>
              <w:spacing w:before="0" w:after="283"/>
              <w:jc w:val="center"/>
              <w:rPr/>
            </w:pPr>
            <w:r>
              <w:rPr/>
              <w:t>June 30,</w:t>
            </w:r>
          </w:p>
        </w:tc>
      </w:tr>
      <w:tr>
        <w:trPr/>
        <w:tc>
          <w:tcPr>
            <w:tcW w:w="46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90" w:type="dxa"/>
            <w:gridSpan w:val="3"/>
            <w:tcBorders/>
            <w:shd w:fill="auto" w:val="clear"/>
            <w:vAlign w:val="bottom"/>
          </w:tcPr>
          <w:p>
            <w:pPr>
              <w:pStyle w:val="TableContents"/>
              <w:spacing w:before="0" w:after="283"/>
              <w:jc w:val="center"/>
              <w:rPr/>
            </w:pPr>
            <w:r>
              <w:rPr/>
              <w:t>2005</w:t>
            </w:r>
          </w:p>
        </w:tc>
        <w:tc>
          <w:tcPr>
            <w:tcW w:w="282" w:type="dxa"/>
            <w:tcBorders/>
            <w:shd w:fill="auto" w:val="clear"/>
            <w:vAlign w:val="bottom"/>
          </w:tcPr>
          <w:p>
            <w:pPr>
              <w:pStyle w:val="TableContents"/>
              <w:spacing w:before="0" w:after="283"/>
              <w:rPr/>
            </w:pPr>
            <w:r>
              <w:rPr/>
              <w:t> </w:t>
            </w:r>
          </w:p>
        </w:tc>
        <w:tc>
          <w:tcPr>
            <w:tcW w:w="1566" w:type="dxa"/>
            <w:gridSpan w:val="3"/>
            <w:tcBorders/>
            <w:shd w:fill="auto" w:val="clear"/>
            <w:vAlign w:val="bottom"/>
          </w:tcPr>
          <w:p>
            <w:pPr>
              <w:pStyle w:val="TableContents"/>
              <w:spacing w:before="0" w:after="283"/>
              <w:jc w:val="center"/>
              <w:rPr/>
            </w:pPr>
            <w:r>
              <w:rPr/>
              <w:t>2004</w:t>
            </w:r>
          </w:p>
        </w:tc>
        <w:tc>
          <w:tcPr>
            <w:tcW w:w="281" w:type="dxa"/>
            <w:tcBorders/>
            <w:shd w:fill="auto" w:val="clear"/>
            <w:vAlign w:val="bottom"/>
          </w:tcPr>
          <w:p>
            <w:pPr>
              <w:pStyle w:val="TableContents"/>
              <w:spacing w:before="0" w:after="283"/>
              <w:rPr/>
            </w:pPr>
            <w:r>
              <w:rPr/>
              <w:t> </w:t>
            </w:r>
          </w:p>
        </w:tc>
        <w:tc>
          <w:tcPr>
            <w:tcW w:w="1678" w:type="dxa"/>
            <w:gridSpan w:val="3"/>
            <w:tcBorders/>
            <w:shd w:fill="auto" w:val="clear"/>
            <w:vAlign w:val="bottom"/>
          </w:tcPr>
          <w:p>
            <w:pPr>
              <w:pStyle w:val="TableContents"/>
              <w:spacing w:before="0" w:after="283"/>
              <w:jc w:val="center"/>
              <w:rPr/>
            </w:pPr>
            <w:r>
              <w:rPr/>
              <w:t>2005</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CCEEFF" w:val="clear"/>
            <w:vAlign w:val="bottom"/>
          </w:tcPr>
          <w:p>
            <w:pPr>
              <w:pStyle w:val="TableContents"/>
              <w:spacing w:before="0" w:after="0"/>
              <w:ind w:left="225" w:right="0" w:hanging="225"/>
              <w:rPr>
                <w:b/>
              </w:rPr>
            </w:pPr>
            <w:r>
              <w:rPr>
                <w:b/>
              </w:rPr>
              <w:t>CASH FLOWS FROM OPERATING ACTIVITIES</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675" w:right="0" w:hanging="225"/>
              <w:rPr/>
            </w:pPr>
            <w:r>
              <w:rPr/>
              <w:t>Net loss for the period</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994" w:type="dxa"/>
            <w:tcBorders/>
            <w:shd w:fill="auto" w:val="clear"/>
            <w:vAlign w:val="bottom"/>
          </w:tcPr>
          <w:p>
            <w:pPr>
              <w:pStyle w:val="TableContents"/>
              <w:spacing w:before="0" w:after="283"/>
              <w:jc w:val="right"/>
              <w:rPr/>
            </w:pPr>
            <w:r>
              <w:rPr/>
              <w:t>(484,627</w:t>
            </w:r>
          </w:p>
        </w:tc>
        <w:tc>
          <w:tcPr>
            <w:tcW w:w="226" w:type="dxa"/>
            <w:tcBorders/>
            <w:shd w:fill="auto" w:val="clear"/>
            <w:vAlign w:val="bottom"/>
          </w:tcPr>
          <w:p>
            <w:pPr>
              <w:pStyle w:val="TableContents"/>
              <w:spacing w:before="0" w:after="283"/>
              <w:rPr/>
            </w:pPr>
            <w:r>
              <w:rPr/>
              <w:t>)</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1067" w:type="dxa"/>
            <w:tcBorders/>
            <w:shd w:fill="auto" w:val="clear"/>
            <w:vAlign w:val="bottom"/>
          </w:tcPr>
          <w:p>
            <w:pPr>
              <w:pStyle w:val="TableContents"/>
              <w:spacing w:before="0" w:after="283"/>
              <w:jc w:val="right"/>
              <w:rPr/>
            </w:pPr>
            <w:r>
              <w:rPr/>
              <w:t>(1,190,395</w:t>
            </w:r>
          </w:p>
        </w:tc>
        <w:tc>
          <w:tcPr>
            <w:tcW w:w="229" w:type="dxa"/>
            <w:tcBorders/>
            <w:shd w:fill="auto" w:val="clear"/>
            <w:vAlign w:val="bottom"/>
          </w:tcPr>
          <w:p>
            <w:pPr>
              <w:pStyle w:val="TableContents"/>
              <w:spacing w:before="0" w:after="283"/>
              <w:rPr/>
            </w:pPr>
            <w:r>
              <w:rPr/>
              <w:t>)</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jc w:val="right"/>
              <w:rPr/>
            </w:pPr>
            <w:r>
              <w:rPr/>
              <w:t>$</w:t>
            </w:r>
          </w:p>
        </w:tc>
        <w:tc>
          <w:tcPr>
            <w:tcW w:w="1175" w:type="dxa"/>
            <w:tcBorders/>
            <w:shd w:fill="auto" w:val="clear"/>
            <w:vAlign w:val="bottom"/>
          </w:tcPr>
          <w:p>
            <w:pPr>
              <w:pStyle w:val="TableContents"/>
              <w:spacing w:before="0" w:after="283"/>
              <w:jc w:val="right"/>
              <w:rPr/>
            </w:pPr>
            <w:r>
              <w:rPr/>
              <w:t>(12,919,397</w:t>
            </w:r>
          </w:p>
        </w:tc>
        <w:tc>
          <w:tcPr>
            <w:tcW w:w="234" w:type="dxa"/>
            <w:tcBorders/>
            <w:shd w:fill="auto" w:val="clear"/>
            <w:vAlign w:val="bottom"/>
          </w:tcPr>
          <w:p>
            <w:pPr>
              <w:pStyle w:val="TableContents"/>
              <w:spacing w:before="0" w:after="283"/>
              <w:rPr/>
            </w:pPr>
            <w:r>
              <w:rPr/>
              <w:t>)</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675" w:right="0" w:hanging="225"/>
              <w:rPr/>
            </w:pPr>
            <w:r>
              <w:rPr/>
              <w:t>Adjustments to reconcile net loss to net cash from operating activities:</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675" w:right="0" w:hanging="225"/>
              <w:rPr/>
            </w:pPr>
            <w:r>
              <w:rPr/>
              <w:t>- depreciation</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17,669</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19,801</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176,624</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675" w:right="0" w:hanging="225"/>
              <w:rPr/>
            </w:pPr>
            <w:r>
              <w:rPr/>
              <w:t>- non-cash interest and finance fees</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66,617</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5,800</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142,017</w:t>
            </w:r>
          </w:p>
        </w:tc>
        <w:tc>
          <w:tcPr>
            <w:tcW w:w="234" w:type="dxa"/>
            <w:tcBorders/>
            <w:shd w:fill="CCEEFF"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675" w:right="0" w:hanging="225"/>
              <w:rPr/>
            </w:pPr>
            <w:r>
              <w:rPr/>
              <w:t>- non-cash consulting fees</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5,750</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675" w:right="0" w:hanging="225"/>
              <w:rPr/>
            </w:pPr>
            <w:r>
              <w:rPr/>
              <w:t>- non-cash license fees</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10,500</w:t>
            </w:r>
          </w:p>
        </w:tc>
        <w:tc>
          <w:tcPr>
            <w:tcW w:w="234" w:type="dxa"/>
            <w:tcBorders/>
            <w:shd w:fill="CCEEFF"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675" w:right="0" w:hanging="225"/>
              <w:rPr/>
            </w:pPr>
            <w:r>
              <w:rPr/>
              <w:t>- stock-based compensation</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26,250</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3,436,775</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675" w:right="0" w:hanging="225"/>
              <w:rPr/>
            </w:pPr>
            <w:r>
              <w:rPr/>
              <w:t>- non-cash gain on settlement of debts</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 </w:t>
            </w:r>
          </w:p>
        </w:tc>
        <w:tc>
          <w:tcPr>
            <w:tcW w:w="994" w:type="dxa"/>
            <w:tcBorders/>
            <w:shd w:fill="CCEEFF" w:val="clear"/>
            <w:vAlign w:val="bottom"/>
          </w:tcPr>
          <w:p>
            <w:pPr>
              <w:pStyle w:val="TableContents"/>
              <w:spacing w:before="0" w:after="283"/>
              <w:jc w:val="right"/>
              <w:rPr/>
            </w:pPr>
            <w:r>
              <w:rPr/>
              <w:t>(142,549</w:t>
            </w:r>
          </w:p>
        </w:tc>
        <w:tc>
          <w:tcPr>
            <w:tcW w:w="226" w:type="dxa"/>
            <w:tcBorders/>
            <w:shd w:fill="CCEEFF" w:val="clear"/>
            <w:vAlign w:val="bottom"/>
          </w:tcPr>
          <w:p>
            <w:pPr>
              <w:pStyle w:val="TableContents"/>
              <w:spacing w:before="0" w:after="283"/>
              <w:rPr/>
            </w:pPr>
            <w:r>
              <w:rPr/>
              <w:t>)</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right"/>
              <w:rPr/>
            </w:pPr>
            <w:r>
              <w:rPr/>
              <w:t> </w:t>
            </w:r>
          </w:p>
        </w:tc>
        <w:tc>
          <w:tcPr>
            <w:tcW w:w="1175" w:type="dxa"/>
            <w:tcBorders/>
            <w:shd w:fill="CCEEFF" w:val="clear"/>
            <w:vAlign w:val="bottom"/>
          </w:tcPr>
          <w:p>
            <w:pPr>
              <w:pStyle w:val="TableContents"/>
              <w:spacing w:before="0" w:after="283"/>
              <w:jc w:val="right"/>
              <w:rPr/>
            </w:pPr>
            <w:r>
              <w:rPr/>
              <w:t>(142,549</w:t>
            </w:r>
          </w:p>
        </w:tc>
        <w:tc>
          <w:tcPr>
            <w:tcW w:w="234" w:type="dxa"/>
            <w:tcBorders/>
            <w:shd w:fill="CCEEFF" w:val="clear"/>
            <w:vAlign w:val="bottom"/>
          </w:tcPr>
          <w:p>
            <w:pPr>
              <w:pStyle w:val="TableContents"/>
              <w:spacing w:before="0" w:after="283"/>
              <w:rPr/>
            </w:pPr>
            <w:r>
              <w:rPr/>
              <w:t>)</w:t>
            </w:r>
          </w:p>
        </w:tc>
      </w:tr>
      <w:tr>
        <w:trPr/>
        <w:tc>
          <w:tcPr>
            <w:tcW w:w="4626" w:type="dxa"/>
            <w:tcBorders/>
            <w:shd w:fill="auto" w:val="clear"/>
            <w:vAlign w:val="bottom"/>
          </w:tcPr>
          <w:p>
            <w:pPr>
              <w:pStyle w:val="TableContents"/>
              <w:spacing w:before="0" w:after="0"/>
              <w:ind w:left="675" w:right="0" w:hanging="225"/>
              <w:rPr/>
            </w:pPr>
            <w:r>
              <w:rPr/>
              <w:t>- prepaid expenses, accounts receivable and deposits</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 </w:t>
            </w:r>
          </w:p>
        </w:tc>
        <w:tc>
          <w:tcPr>
            <w:tcW w:w="994" w:type="dxa"/>
            <w:tcBorders/>
            <w:shd w:fill="auto" w:val="clear"/>
            <w:vAlign w:val="bottom"/>
          </w:tcPr>
          <w:p>
            <w:pPr>
              <w:pStyle w:val="TableContents"/>
              <w:spacing w:before="0" w:after="283"/>
              <w:jc w:val="right"/>
              <w:rPr/>
            </w:pPr>
            <w:r>
              <w:rPr/>
              <w:t>(48,173</w:t>
            </w:r>
          </w:p>
        </w:tc>
        <w:tc>
          <w:tcPr>
            <w:tcW w:w="226" w:type="dxa"/>
            <w:tcBorders/>
            <w:shd w:fill="auto" w:val="clear"/>
            <w:vAlign w:val="bottom"/>
          </w:tcPr>
          <w:p>
            <w:pPr>
              <w:pStyle w:val="TableContents"/>
              <w:spacing w:before="0" w:after="283"/>
              <w:rPr/>
            </w:pPr>
            <w:r>
              <w:rPr/>
              <w:t>)</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 </w:t>
            </w:r>
          </w:p>
        </w:tc>
        <w:tc>
          <w:tcPr>
            <w:tcW w:w="1067" w:type="dxa"/>
            <w:tcBorders/>
            <w:shd w:fill="auto" w:val="clear"/>
            <w:vAlign w:val="bottom"/>
          </w:tcPr>
          <w:p>
            <w:pPr>
              <w:pStyle w:val="TableContents"/>
              <w:spacing w:before="0" w:after="283"/>
              <w:jc w:val="right"/>
              <w:rPr/>
            </w:pPr>
            <w:r>
              <w:rPr/>
              <w:t>(1,764</w:t>
            </w:r>
          </w:p>
        </w:tc>
        <w:tc>
          <w:tcPr>
            <w:tcW w:w="229" w:type="dxa"/>
            <w:tcBorders/>
            <w:shd w:fill="auto" w:val="clear"/>
            <w:vAlign w:val="bottom"/>
          </w:tcPr>
          <w:p>
            <w:pPr>
              <w:pStyle w:val="TableContents"/>
              <w:spacing w:before="0" w:after="283"/>
              <w:rPr/>
            </w:pPr>
            <w:r>
              <w:rPr/>
              <w:t>)</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jc w:val="right"/>
              <w:rPr/>
            </w:pPr>
            <w:r>
              <w:rPr/>
              <w:t> </w:t>
            </w:r>
          </w:p>
        </w:tc>
        <w:tc>
          <w:tcPr>
            <w:tcW w:w="1175" w:type="dxa"/>
            <w:tcBorders/>
            <w:shd w:fill="auto" w:val="clear"/>
            <w:vAlign w:val="bottom"/>
          </w:tcPr>
          <w:p>
            <w:pPr>
              <w:pStyle w:val="TableContents"/>
              <w:spacing w:before="0" w:after="283"/>
              <w:jc w:val="right"/>
              <w:rPr/>
            </w:pPr>
            <w:r>
              <w:rPr/>
              <w:t>(42,640</w:t>
            </w:r>
          </w:p>
        </w:tc>
        <w:tc>
          <w:tcPr>
            <w:tcW w:w="234" w:type="dxa"/>
            <w:tcBorders/>
            <w:shd w:fill="auto" w:val="clear"/>
            <w:vAlign w:val="bottom"/>
          </w:tcPr>
          <w:p>
            <w:pPr>
              <w:pStyle w:val="TableContents"/>
              <w:spacing w:before="0" w:after="283"/>
              <w:rPr/>
            </w:pPr>
            <w:r>
              <w:rPr/>
              <w:t>)</w:t>
            </w:r>
          </w:p>
        </w:tc>
      </w:tr>
      <w:tr>
        <w:trPr/>
        <w:tc>
          <w:tcPr>
            <w:tcW w:w="4626" w:type="dxa"/>
            <w:tcBorders/>
            <w:shd w:fill="CCEEFF" w:val="clear"/>
            <w:vAlign w:val="bottom"/>
          </w:tcPr>
          <w:p>
            <w:pPr>
              <w:pStyle w:val="TableContents"/>
              <w:spacing w:before="0" w:after="0"/>
              <w:ind w:left="675" w:right="0" w:hanging="225"/>
              <w:rPr/>
            </w:pPr>
            <w:r>
              <w:rPr/>
              <w:t>- accounts payable</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 </w:t>
            </w:r>
          </w:p>
        </w:tc>
        <w:tc>
          <w:tcPr>
            <w:tcW w:w="994" w:type="dxa"/>
            <w:tcBorders/>
            <w:shd w:fill="CCEEFF" w:val="clear"/>
            <w:vAlign w:val="bottom"/>
          </w:tcPr>
          <w:p>
            <w:pPr>
              <w:pStyle w:val="TableContents"/>
              <w:spacing w:before="0" w:after="283"/>
              <w:jc w:val="right"/>
              <w:rPr/>
            </w:pPr>
            <w:r>
              <w:rPr/>
              <w:t>(150,027</w:t>
            </w:r>
          </w:p>
        </w:tc>
        <w:tc>
          <w:tcPr>
            <w:tcW w:w="226" w:type="dxa"/>
            <w:tcBorders/>
            <w:shd w:fill="CCEEFF" w:val="clear"/>
            <w:vAlign w:val="bottom"/>
          </w:tcPr>
          <w:p>
            <w:pPr>
              <w:pStyle w:val="TableContents"/>
              <w:spacing w:before="0" w:after="283"/>
              <w:rPr/>
            </w:pPr>
            <w:r>
              <w:rPr/>
              <w:t>)</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375,512</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969,839</w:t>
            </w:r>
          </w:p>
        </w:tc>
        <w:tc>
          <w:tcPr>
            <w:tcW w:w="234" w:type="dxa"/>
            <w:tcBorders/>
            <w:shd w:fill="CCEEFF"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675" w:right="0" w:hanging="225"/>
              <w:rPr/>
            </w:pPr>
            <w:r>
              <w:rPr/>
              <w:t>- research agreement obligations</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 </w:t>
            </w:r>
          </w:p>
        </w:tc>
        <w:tc>
          <w:tcPr>
            <w:tcW w:w="994" w:type="dxa"/>
            <w:tcBorders/>
            <w:shd w:fill="auto" w:val="clear"/>
            <w:vAlign w:val="bottom"/>
          </w:tcPr>
          <w:p>
            <w:pPr>
              <w:pStyle w:val="TableContents"/>
              <w:spacing w:before="0" w:after="283"/>
              <w:jc w:val="right"/>
              <w:rPr/>
            </w:pPr>
            <w:r>
              <w:rPr/>
              <w:t>(228,502</w:t>
            </w:r>
          </w:p>
        </w:tc>
        <w:tc>
          <w:tcPr>
            <w:tcW w:w="226" w:type="dxa"/>
            <w:tcBorders/>
            <w:shd w:fill="auto" w:val="clear"/>
            <w:vAlign w:val="bottom"/>
          </w:tcPr>
          <w:p>
            <w:pPr>
              <w:pStyle w:val="TableContents"/>
              <w:spacing w:before="0" w:after="283"/>
              <w:rPr/>
            </w:pPr>
            <w:r>
              <w:rPr/>
              <w:t>)</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 </w:t>
            </w:r>
          </w:p>
        </w:tc>
        <w:tc>
          <w:tcPr>
            <w:tcW w:w="1067" w:type="dxa"/>
            <w:tcBorders/>
            <w:shd w:fill="auto" w:val="clear"/>
            <w:vAlign w:val="bottom"/>
          </w:tcPr>
          <w:p>
            <w:pPr>
              <w:pStyle w:val="TableContents"/>
              <w:spacing w:before="0" w:after="283"/>
              <w:jc w:val="right"/>
              <w:rPr/>
            </w:pPr>
            <w:r>
              <w:rPr/>
              <w:t>(136,726</w:t>
            </w:r>
          </w:p>
        </w:tc>
        <w:tc>
          <w:tcPr>
            <w:tcW w:w="229" w:type="dxa"/>
            <w:tcBorders/>
            <w:shd w:fill="auto" w:val="clear"/>
            <w:vAlign w:val="bottom"/>
          </w:tcPr>
          <w:p>
            <w:pPr>
              <w:pStyle w:val="TableContents"/>
              <w:spacing w:before="0" w:after="283"/>
              <w:rPr/>
            </w:pPr>
            <w:r>
              <w:rPr/>
              <w:t>)</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(580,312</w:t>
            </w:r>
          </w:p>
        </w:tc>
        <w:tc>
          <w:tcPr>
            <w:tcW w:w="234" w:type="dxa"/>
            <w:tcBorders/>
            <w:shd w:fill="auto" w:val="clear"/>
            <w:vAlign w:val="bottom"/>
          </w:tcPr>
          <w:p>
            <w:pPr>
              <w:pStyle w:val="TableContents"/>
              <w:spacing w:before="0" w:after="283"/>
              <w:rPr/>
            </w:pPr>
            <w:r>
              <w:rPr/>
              <w:t>)</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225" w:right="0" w:hanging="225"/>
              <w:rPr>
                <w:b/>
              </w:rPr>
            </w:pPr>
            <w:r>
              <w:rPr>
                <w:b/>
              </w:rPr>
              <w:t>NET CASH USED IN OPERATING ACTIVITIES</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 </w:t>
            </w:r>
          </w:p>
        </w:tc>
        <w:tc>
          <w:tcPr>
            <w:tcW w:w="994" w:type="dxa"/>
            <w:tcBorders/>
            <w:shd w:fill="CCEEFF" w:val="clear"/>
            <w:vAlign w:val="bottom"/>
          </w:tcPr>
          <w:p>
            <w:pPr>
              <w:pStyle w:val="TableContents"/>
              <w:spacing w:before="0" w:after="283"/>
              <w:jc w:val="right"/>
              <w:rPr/>
            </w:pPr>
            <w:r>
              <w:rPr/>
              <w:t>(969,592</w:t>
            </w:r>
          </w:p>
        </w:tc>
        <w:tc>
          <w:tcPr>
            <w:tcW w:w="226" w:type="dxa"/>
            <w:tcBorders/>
            <w:shd w:fill="CCEEFF" w:val="clear"/>
            <w:vAlign w:val="bottom"/>
          </w:tcPr>
          <w:p>
            <w:pPr>
              <w:pStyle w:val="TableContents"/>
              <w:spacing w:before="0" w:after="283"/>
              <w:rPr/>
            </w:pPr>
            <w:r>
              <w:rPr/>
              <w:t>)</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 </w:t>
            </w:r>
          </w:p>
        </w:tc>
        <w:tc>
          <w:tcPr>
            <w:tcW w:w="1067" w:type="dxa"/>
            <w:tcBorders/>
            <w:shd w:fill="CCEEFF" w:val="clear"/>
            <w:vAlign w:val="bottom"/>
          </w:tcPr>
          <w:p>
            <w:pPr>
              <w:pStyle w:val="TableContents"/>
              <w:spacing w:before="0" w:after="283"/>
              <w:jc w:val="right"/>
              <w:rPr/>
            </w:pPr>
            <w:r>
              <w:rPr/>
              <w:t>(901,522</w:t>
            </w:r>
          </w:p>
        </w:tc>
        <w:tc>
          <w:tcPr>
            <w:tcW w:w="229" w:type="dxa"/>
            <w:tcBorders/>
            <w:shd w:fill="CCEEFF" w:val="clear"/>
            <w:vAlign w:val="bottom"/>
          </w:tcPr>
          <w:p>
            <w:pPr>
              <w:pStyle w:val="TableContents"/>
              <w:spacing w:before="0" w:after="283"/>
              <w:rPr/>
            </w:pPr>
            <w:r>
              <w:rPr/>
              <w:t>)</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right"/>
              <w:rPr/>
            </w:pPr>
            <w:r>
              <w:rPr/>
              <w:t> </w:t>
            </w:r>
          </w:p>
        </w:tc>
        <w:tc>
          <w:tcPr>
            <w:tcW w:w="1175" w:type="dxa"/>
            <w:tcBorders/>
            <w:shd w:fill="CCEEFF" w:val="clear"/>
            <w:vAlign w:val="bottom"/>
          </w:tcPr>
          <w:p>
            <w:pPr>
              <w:pStyle w:val="TableContents"/>
              <w:spacing w:before="0" w:after="283"/>
              <w:jc w:val="right"/>
              <w:rPr/>
            </w:pPr>
            <w:r>
              <w:rPr/>
              <w:t>(7,782,769</w:t>
            </w:r>
          </w:p>
        </w:tc>
        <w:tc>
          <w:tcPr>
            <w:tcW w:w="234" w:type="dxa"/>
            <w:tcBorders/>
            <w:shd w:fill="CCEEFF" w:val="clear"/>
            <w:vAlign w:val="bottom"/>
          </w:tcPr>
          <w:p>
            <w:pPr>
              <w:pStyle w:val="TableContents"/>
              <w:spacing w:before="0" w:after="283"/>
              <w:rPr/>
            </w:pPr>
            <w:r>
              <w:rPr/>
              <w:t>)</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225" w:right="0" w:hanging="225"/>
              <w:rPr>
                <w:b/>
              </w:rPr>
            </w:pPr>
            <w:r>
              <w:rPr>
                <w:b/>
              </w:rPr>
              <w:t>CASH FLOWS FROM INVESTING ACTIVITIES</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675" w:right="0" w:hanging="225"/>
              <w:rPr/>
            </w:pPr>
            <w:r>
              <w:rPr/>
              <w:t>Purchase of furniture and equipment</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 </w:t>
            </w:r>
          </w:p>
        </w:tc>
        <w:tc>
          <w:tcPr>
            <w:tcW w:w="994" w:type="dxa"/>
            <w:tcBorders/>
            <w:shd w:fill="CCEEFF" w:val="clear"/>
            <w:vAlign w:val="bottom"/>
          </w:tcPr>
          <w:p>
            <w:pPr>
              <w:pStyle w:val="TableContents"/>
              <w:spacing w:before="0" w:after="283"/>
              <w:jc w:val="right"/>
              <w:rPr/>
            </w:pPr>
            <w:r>
              <w:rPr/>
              <w:t>(1,972</w:t>
            </w:r>
          </w:p>
        </w:tc>
        <w:tc>
          <w:tcPr>
            <w:tcW w:w="226" w:type="dxa"/>
            <w:tcBorders/>
            <w:shd w:fill="CCEEFF" w:val="clear"/>
            <w:vAlign w:val="bottom"/>
          </w:tcPr>
          <w:p>
            <w:pPr>
              <w:pStyle w:val="TableContents"/>
              <w:spacing w:before="0" w:after="283"/>
              <w:rPr/>
            </w:pPr>
            <w:r>
              <w:rPr/>
              <w:t>)</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right"/>
              <w:rPr/>
            </w:pPr>
            <w:r>
              <w:rPr/>
              <w:t> </w:t>
            </w:r>
          </w:p>
        </w:tc>
        <w:tc>
          <w:tcPr>
            <w:tcW w:w="1175" w:type="dxa"/>
            <w:tcBorders/>
            <w:shd w:fill="CCEEFF" w:val="clear"/>
            <w:vAlign w:val="bottom"/>
          </w:tcPr>
          <w:p>
            <w:pPr>
              <w:pStyle w:val="TableContents"/>
              <w:spacing w:before="0" w:after="283"/>
              <w:jc w:val="right"/>
              <w:rPr/>
            </w:pPr>
            <w:r>
              <w:rPr/>
              <w:t>(196,200</w:t>
            </w:r>
          </w:p>
        </w:tc>
        <w:tc>
          <w:tcPr>
            <w:tcW w:w="234" w:type="dxa"/>
            <w:tcBorders/>
            <w:shd w:fill="CCEEFF" w:val="clear"/>
            <w:vAlign w:val="bottom"/>
          </w:tcPr>
          <w:p>
            <w:pPr>
              <w:pStyle w:val="TableContents"/>
              <w:spacing w:before="0" w:after="283"/>
              <w:rPr/>
            </w:pPr>
            <w:r>
              <w:rPr/>
              <w:t>)</w:t>
            </w:r>
          </w:p>
        </w:tc>
      </w:tr>
      <w:tr>
        <w:trPr/>
        <w:tc>
          <w:tcPr>
            <w:tcW w:w="4626" w:type="dxa"/>
            <w:tcBorders/>
            <w:shd w:fill="auto" w:val="clear"/>
            <w:vAlign w:val="bottom"/>
          </w:tcPr>
          <w:p>
            <w:pPr>
              <w:pStyle w:val="TableContents"/>
              <w:spacing w:before="0" w:after="0"/>
              <w:ind w:left="675" w:right="0" w:hanging="225"/>
              <w:rPr/>
            </w:pPr>
            <w:r>
              <w:rPr/>
              <w:t>Pre reverse acquisition advances from GMC</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250,000</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675" w:right="0" w:hanging="225"/>
              <w:rPr/>
            </w:pPr>
            <w:r>
              <w:rPr/>
              <w:t>Cash acquired on reverse acquisition of GMC</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173,373</w:t>
            </w:r>
          </w:p>
        </w:tc>
        <w:tc>
          <w:tcPr>
            <w:tcW w:w="234" w:type="dxa"/>
            <w:tcBorders/>
            <w:shd w:fill="CCEEFF"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225" w:right="0" w:hanging="225"/>
              <w:rPr>
                <w:b/>
              </w:rPr>
            </w:pPr>
            <w:r>
              <w:rPr>
                <w:b/>
              </w:rPr>
              <w:t>NET CASH FROM (USED IN) INVESTING ACTIVITIES</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 </w:t>
            </w:r>
          </w:p>
        </w:tc>
        <w:tc>
          <w:tcPr>
            <w:tcW w:w="994" w:type="dxa"/>
            <w:tcBorders/>
            <w:shd w:fill="auto" w:val="clear"/>
            <w:vAlign w:val="bottom"/>
          </w:tcPr>
          <w:p>
            <w:pPr>
              <w:pStyle w:val="TableContents"/>
              <w:spacing w:before="0" w:after="283"/>
              <w:jc w:val="right"/>
              <w:rPr/>
            </w:pPr>
            <w:r>
              <w:rPr/>
              <w:t>(1,972</w:t>
            </w:r>
          </w:p>
        </w:tc>
        <w:tc>
          <w:tcPr>
            <w:tcW w:w="226" w:type="dxa"/>
            <w:tcBorders/>
            <w:shd w:fill="auto" w:val="clear"/>
            <w:vAlign w:val="bottom"/>
          </w:tcPr>
          <w:p>
            <w:pPr>
              <w:pStyle w:val="TableContents"/>
              <w:spacing w:before="0" w:after="283"/>
              <w:rPr/>
            </w:pPr>
            <w:r>
              <w:rPr/>
              <w:t>)</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227,173</w:t>
            </w:r>
          </w:p>
        </w:tc>
        <w:tc>
          <w:tcPr>
            <w:tcW w:w="234"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225" w:right="0" w:hanging="225"/>
              <w:rPr>
                <w:b/>
              </w:rPr>
            </w:pPr>
            <w:r>
              <w:rPr>
                <w:b/>
              </w:rPr>
              <w:t>CASH FLOWS FROM FINANCING ACTIVITIES</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675" w:right="0" w:hanging="225"/>
              <w:rPr/>
            </w:pPr>
            <w:r>
              <w:rPr/>
              <w:t>Proceeds on sale and subscriptions of common stock</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1,162,064</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550,000</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6,857,424</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675" w:right="0" w:hanging="225"/>
              <w:rPr/>
            </w:pPr>
            <w:r>
              <w:rPr/>
              <w:t>Deferred finance fees</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 </w:t>
            </w:r>
          </w:p>
        </w:tc>
        <w:tc>
          <w:tcPr>
            <w:tcW w:w="1067" w:type="dxa"/>
            <w:tcBorders/>
            <w:shd w:fill="CCEEFF" w:val="clear"/>
            <w:vAlign w:val="bottom"/>
          </w:tcPr>
          <w:p>
            <w:pPr>
              <w:pStyle w:val="TableContents"/>
              <w:spacing w:before="0" w:after="283"/>
              <w:jc w:val="right"/>
              <w:rPr/>
            </w:pPr>
            <w:r>
              <w:rPr/>
              <w:t>(85,976</w:t>
            </w:r>
          </w:p>
        </w:tc>
        <w:tc>
          <w:tcPr>
            <w:tcW w:w="229" w:type="dxa"/>
            <w:tcBorders/>
            <w:shd w:fill="CCEEFF" w:val="clear"/>
            <w:vAlign w:val="bottom"/>
          </w:tcPr>
          <w:p>
            <w:pPr>
              <w:pStyle w:val="TableContents"/>
              <w:spacing w:before="0" w:after="283"/>
              <w:rPr/>
            </w:pPr>
            <w:r>
              <w:rPr/>
              <w:t>)</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right"/>
              <w:rPr/>
            </w:pPr>
            <w:r>
              <w:rPr/>
              <w:t> </w:t>
            </w:r>
          </w:p>
        </w:tc>
        <w:tc>
          <w:tcPr>
            <w:tcW w:w="1175" w:type="dxa"/>
            <w:tcBorders/>
            <w:shd w:fill="CCEEFF" w:val="clear"/>
            <w:vAlign w:val="bottom"/>
          </w:tcPr>
          <w:p>
            <w:pPr>
              <w:pStyle w:val="TableContents"/>
              <w:spacing w:before="0" w:after="283"/>
              <w:jc w:val="right"/>
              <w:rPr/>
            </w:pPr>
            <w:r>
              <w:rPr/>
              <w:t>(74,100</w:t>
            </w:r>
          </w:p>
        </w:tc>
        <w:tc>
          <w:tcPr>
            <w:tcW w:w="234" w:type="dxa"/>
            <w:tcBorders/>
            <w:shd w:fill="CCEEFF" w:val="clear"/>
            <w:vAlign w:val="bottom"/>
          </w:tcPr>
          <w:p>
            <w:pPr>
              <w:pStyle w:val="TableContents"/>
              <w:spacing w:before="0" w:after="283"/>
              <w:rPr/>
            </w:pPr>
            <w:r>
              <w:rPr/>
              <w:t>)</w:t>
            </w:r>
          </w:p>
        </w:tc>
      </w:tr>
      <w:tr>
        <w:trPr/>
        <w:tc>
          <w:tcPr>
            <w:tcW w:w="4626" w:type="dxa"/>
            <w:tcBorders/>
            <w:shd w:fill="auto" w:val="clear"/>
            <w:vAlign w:val="bottom"/>
          </w:tcPr>
          <w:p>
            <w:pPr>
              <w:pStyle w:val="TableContents"/>
              <w:spacing w:before="0" w:after="0"/>
              <w:ind w:left="675" w:right="0" w:hanging="225"/>
              <w:rPr/>
            </w:pPr>
            <w:r>
              <w:rPr/>
              <w:t>Convertible loans payable</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500,000</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500,000</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675" w:right="0" w:hanging="225"/>
              <w:rPr/>
            </w:pPr>
            <w:r>
              <w:rPr/>
              <w:t>Loans payable</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136,245</w:t>
            </w:r>
          </w:p>
        </w:tc>
        <w:tc>
          <w:tcPr>
            <w:tcW w:w="234" w:type="dxa"/>
            <w:tcBorders/>
            <w:shd w:fill="CCEEFF"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675" w:right="0" w:hanging="225"/>
              <w:rPr/>
            </w:pPr>
            <w:r>
              <w:rPr/>
              <w:t>Advances (to) from related parties</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 </w:t>
            </w:r>
          </w:p>
        </w:tc>
        <w:tc>
          <w:tcPr>
            <w:tcW w:w="994" w:type="dxa"/>
            <w:tcBorders/>
            <w:shd w:fill="auto" w:val="clear"/>
            <w:vAlign w:val="bottom"/>
          </w:tcPr>
          <w:p>
            <w:pPr>
              <w:pStyle w:val="TableContents"/>
              <w:spacing w:before="0" w:after="283"/>
              <w:jc w:val="right"/>
              <w:rPr/>
            </w:pPr>
            <w:r>
              <w:rPr/>
              <w:t>(15,252</w:t>
            </w:r>
          </w:p>
        </w:tc>
        <w:tc>
          <w:tcPr>
            <w:tcW w:w="226" w:type="dxa"/>
            <w:tcBorders/>
            <w:shd w:fill="auto" w:val="clear"/>
            <w:vAlign w:val="bottom"/>
          </w:tcPr>
          <w:p>
            <w:pPr>
              <w:pStyle w:val="TableContents"/>
              <w:spacing w:before="0" w:after="283"/>
              <w:rPr/>
            </w:pPr>
            <w:r>
              <w:rPr/>
              <w:t>)</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57,138</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386,708</w:t>
            </w:r>
          </w:p>
        </w:tc>
        <w:tc>
          <w:tcPr>
            <w:tcW w:w="234"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225" w:right="0" w:hanging="225"/>
              <w:rPr>
                <w:b/>
              </w:rPr>
            </w:pPr>
            <w:r>
              <w:rPr>
                <w:b/>
              </w:rPr>
              <w:t>NET CASH FLOWS FROM FINANCING ACTIVITIES</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1,146,812</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1,021,162</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7,806,277</w:t>
            </w:r>
          </w:p>
        </w:tc>
        <w:tc>
          <w:tcPr>
            <w:tcW w:w="234" w:type="dxa"/>
            <w:tcBorders/>
            <w:shd w:fill="CCEEFF"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225" w:right="0" w:hanging="225"/>
              <w:rPr>
                <w:b/>
              </w:rPr>
            </w:pPr>
            <w:r>
              <w:rPr>
                <w:b/>
              </w:rPr>
              <w:t>EFFECT OF EXCHANGE RATE CHANGES</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15,726</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5,921</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jc w:val="right"/>
              <w:rPr/>
            </w:pPr>
            <w:r>
              <w:rPr/>
              <w:t> </w:t>
            </w:r>
          </w:p>
        </w:tc>
        <w:tc>
          <w:tcPr>
            <w:tcW w:w="1175" w:type="dxa"/>
            <w:tcBorders/>
            <w:shd w:fill="auto" w:val="clear"/>
            <w:vAlign w:val="bottom"/>
          </w:tcPr>
          <w:p>
            <w:pPr>
              <w:pStyle w:val="TableContents"/>
              <w:spacing w:before="0" w:after="283"/>
              <w:jc w:val="right"/>
              <w:rPr/>
            </w:pPr>
            <w:r>
              <w:rPr/>
              <w:t>(48,061</w:t>
            </w:r>
          </w:p>
        </w:tc>
        <w:tc>
          <w:tcPr>
            <w:tcW w:w="234" w:type="dxa"/>
            <w:tcBorders/>
            <w:shd w:fill="auto" w:val="clear"/>
            <w:vAlign w:val="bottom"/>
          </w:tcPr>
          <w:p>
            <w:pPr>
              <w:pStyle w:val="TableContents"/>
              <w:spacing w:before="0" w:after="283"/>
              <w:rPr/>
            </w:pPr>
            <w:r>
              <w:rPr/>
              <w:t>)</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225" w:right="0" w:hanging="225"/>
              <w:rPr>
                <w:b/>
              </w:rPr>
            </w:pPr>
            <w:r>
              <w:rPr>
                <w:b/>
              </w:rPr>
              <w:t>INCREASE (DECREASE) IN CASH</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190,974</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125,561</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202,620</w:t>
            </w:r>
          </w:p>
        </w:tc>
        <w:tc>
          <w:tcPr>
            <w:tcW w:w="234" w:type="dxa"/>
            <w:tcBorders/>
            <w:shd w:fill="CCEEFF"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225" w:right="0" w:hanging="225"/>
              <w:rPr>
                <w:b/>
              </w:rPr>
            </w:pPr>
            <w:r>
              <w:rPr>
                <w:b/>
              </w:rPr>
              <w:t>CASH, BEGINNING OF PERIOD</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11,646</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19,451</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234"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225" w:right="0" w:hanging="225"/>
              <w:rPr>
                <w:b/>
              </w:rPr>
            </w:pPr>
            <w:r>
              <w:rPr>
                <w:b/>
              </w:rPr>
              <w:t>CASH, END OF PERIOD</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w:t>
            </w:r>
          </w:p>
        </w:tc>
        <w:tc>
          <w:tcPr>
            <w:tcW w:w="994" w:type="dxa"/>
            <w:tcBorders/>
            <w:shd w:fill="CCEEFF" w:val="clear"/>
            <w:vAlign w:val="bottom"/>
          </w:tcPr>
          <w:p>
            <w:pPr>
              <w:pStyle w:val="TableContents"/>
              <w:spacing w:before="0" w:after="283"/>
              <w:jc w:val="right"/>
              <w:rPr/>
            </w:pPr>
            <w:r>
              <w:rPr/>
              <w:t>202,620</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w:t>
            </w:r>
          </w:p>
        </w:tc>
        <w:tc>
          <w:tcPr>
            <w:tcW w:w="1067" w:type="dxa"/>
            <w:tcBorders/>
            <w:shd w:fill="CCEEFF" w:val="clear"/>
            <w:vAlign w:val="bottom"/>
          </w:tcPr>
          <w:p>
            <w:pPr>
              <w:pStyle w:val="TableContents"/>
              <w:spacing w:before="0" w:after="283"/>
              <w:jc w:val="right"/>
              <w:rPr/>
            </w:pPr>
            <w:r>
              <w:rPr/>
              <w:t>145,012</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right"/>
              <w:rPr/>
            </w:pPr>
            <w:r>
              <w:rPr/>
              <w:t>$</w:t>
            </w:r>
          </w:p>
        </w:tc>
        <w:tc>
          <w:tcPr>
            <w:tcW w:w="1175" w:type="dxa"/>
            <w:tcBorders/>
            <w:shd w:fill="CCEEFF" w:val="clear"/>
            <w:vAlign w:val="bottom"/>
          </w:tcPr>
          <w:p>
            <w:pPr>
              <w:pStyle w:val="TableContents"/>
              <w:spacing w:before="0" w:after="283"/>
              <w:jc w:val="right"/>
              <w:rPr/>
            </w:pPr>
            <w:r>
              <w:rPr/>
              <w:t>202,620</w:t>
            </w:r>
          </w:p>
        </w:tc>
        <w:tc>
          <w:tcPr>
            <w:tcW w:w="234" w:type="dxa"/>
            <w:tcBorders/>
            <w:shd w:fill="CCEEFF" w:val="clear"/>
            <w:vAlign w:val="bottom"/>
          </w:tcPr>
          <w:p>
            <w:pPr>
              <w:pStyle w:val="TableContents"/>
              <w:spacing w:before="0" w:after="283"/>
              <w:rPr/>
            </w:pPr>
            <w:r>
              <w:rPr/>
              <w:t> </w:t>
            </w:r>
          </w:p>
        </w:tc>
      </w:tr>
      <w:tr>
        <w:trPr/>
        <w:tc>
          <w:tcPr>
            <w:tcW w:w="10205" w:type="dxa"/>
            <w:gridSpan w:val="13"/>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auto" w:val="clear"/>
            <w:vAlign w:val="bottom"/>
          </w:tcPr>
          <w:p>
            <w:pPr>
              <w:pStyle w:val="TableContents"/>
              <w:spacing w:before="0" w:after="0"/>
              <w:ind w:left="225" w:right="0" w:hanging="225"/>
              <w:rPr>
                <w:b/>
              </w:rPr>
            </w:pPr>
            <w:r>
              <w:rPr>
                <w:b/>
              </w:rPr>
              <w:t>SUPPLEMENTAL DISCLOSURES:</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4626" w:type="dxa"/>
            <w:tcBorders/>
            <w:shd w:fill="CCEEFF" w:val="clear"/>
            <w:vAlign w:val="bottom"/>
          </w:tcPr>
          <w:p>
            <w:pPr>
              <w:pStyle w:val="TableContents"/>
              <w:spacing w:before="0" w:after="0"/>
              <w:ind w:left="675" w:right="0" w:hanging="225"/>
              <w:rPr/>
            </w:pPr>
            <w:r>
              <w:rPr/>
              <w:t>Interest paid</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w:t>
            </w:r>
          </w:p>
        </w:tc>
        <w:tc>
          <w:tcPr>
            <w:tcW w:w="994" w:type="dxa"/>
            <w:tcBorders/>
            <w:shd w:fill="CCEEFF" w:val="clear"/>
            <w:vAlign w:val="bottom"/>
          </w:tcPr>
          <w:p>
            <w:pPr>
              <w:pStyle w:val="TableContents"/>
              <w:spacing w:before="0" w:after="283"/>
              <w:jc w:val="right"/>
              <w:rPr/>
            </w:pPr>
            <w:r>
              <w:rPr/>
              <w:t>29,022</w:t>
            </w:r>
          </w:p>
        </w:tc>
        <w:tc>
          <w:tcPr>
            <w:tcW w:w="22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w:t>
            </w:r>
          </w:p>
        </w:tc>
        <w:tc>
          <w:tcPr>
            <w:tcW w:w="1067" w:type="dxa"/>
            <w:tcBorders/>
            <w:shd w:fill="CCEEFF" w:val="clear"/>
            <w:vAlign w:val="bottom"/>
          </w:tcPr>
          <w:p>
            <w:pPr>
              <w:pStyle w:val="TableContents"/>
              <w:spacing w:before="0" w:after="283"/>
              <w:jc w:val="right"/>
              <w:rPr/>
            </w:pPr>
            <w:r>
              <w:rPr/>
              <w:t></w:t>
            </w:r>
          </w:p>
        </w:tc>
        <w:tc>
          <w:tcPr>
            <w:tcW w:w="229"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right"/>
              <w:rPr/>
            </w:pPr>
            <w:r>
              <w:rPr/>
              <w:t>$</w:t>
            </w:r>
          </w:p>
        </w:tc>
        <w:tc>
          <w:tcPr>
            <w:tcW w:w="1175" w:type="dxa"/>
            <w:tcBorders/>
            <w:shd w:fill="CCEEFF" w:val="clear"/>
            <w:vAlign w:val="bottom"/>
          </w:tcPr>
          <w:p>
            <w:pPr>
              <w:pStyle w:val="TableContents"/>
              <w:spacing w:before="0" w:after="283"/>
              <w:jc w:val="right"/>
              <w:rPr/>
            </w:pPr>
            <w:r>
              <w:rPr/>
              <w:t>29,022</w:t>
            </w:r>
          </w:p>
        </w:tc>
        <w:tc>
          <w:tcPr>
            <w:tcW w:w="234" w:type="dxa"/>
            <w:tcBorders/>
            <w:shd w:fill="CCEEFF" w:val="clear"/>
            <w:vAlign w:val="bottom"/>
          </w:tcPr>
          <w:p>
            <w:pPr>
              <w:pStyle w:val="TableContents"/>
              <w:spacing w:before="0" w:after="283"/>
              <w:rPr/>
            </w:pPr>
            <w:r>
              <w:rPr/>
              <w:t> </w:t>
            </w:r>
          </w:p>
        </w:tc>
      </w:tr>
      <w:tr>
        <w:trPr/>
        <w:tc>
          <w:tcPr>
            <w:tcW w:w="10205" w:type="dxa"/>
            <w:gridSpan w:val="13"/>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626" w:type="dxa"/>
            <w:tcBorders/>
            <w:shd w:fill="auto" w:val="clear"/>
            <w:vAlign w:val="bottom"/>
          </w:tcPr>
          <w:p>
            <w:pPr>
              <w:pStyle w:val="TableContents"/>
              <w:spacing w:before="0" w:after="0"/>
              <w:ind w:left="675" w:right="0" w:hanging="225"/>
              <w:rPr/>
            </w:pPr>
            <w:r>
              <w:rPr/>
              <w:t>Taxes paid</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994"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1067" w:type="dxa"/>
            <w:tcBorders/>
            <w:shd w:fill="auto" w:val="clear"/>
            <w:vAlign w:val="bottom"/>
          </w:tcPr>
          <w:p>
            <w:pPr>
              <w:pStyle w:val="TableContents"/>
              <w:spacing w:before="0" w:after="283"/>
              <w:jc w:val="right"/>
              <w:rPr/>
            </w:pPr>
            <w:r>
              <w:rPr/>
              <w:t></w:t>
            </w:r>
          </w:p>
        </w:tc>
        <w:tc>
          <w:tcPr>
            <w:tcW w:w="22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jc w:val="right"/>
              <w:rPr/>
            </w:pPr>
            <w:r>
              <w:rPr/>
              <w:t>$</w:t>
            </w:r>
          </w:p>
        </w:tc>
        <w:tc>
          <w:tcPr>
            <w:tcW w:w="1175" w:type="dxa"/>
            <w:tcBorders/>
            <w:shd w:fill="auto" w:val="clear"/>
            <w:vAlign w:val="bottom"/>
          </w:tcPr>
          <w:p>
            <w:pPr>
              <w:pStyle w:val="TableContents"/>
              <w:spacing w:before="0" w:after="283"/>
              <w:jc w:val="right"/>
              <w:rPr/>
            </w:pPr>
            <w:r>
              <w:rPr/>
              <w:t></w:t>
            </w:r>
          </w:p>
        </w:tc>
        <w:tc>
          <w:tcPr>
            <w:tcW w:w="234" w:type="dxa"/>
            <w:tcBorders/>
            <w:shd w:fill="auto" w:val="clear"/>
            <w:vAlign w:val="bottom"/>
          </w:tcPr>
          <w:p>
            <w:pPr>
              <w:pStyle w:val="TableContents"/>
              <w:spacing w:before="0" w:after="283"/>
              <w:rPr/>
            </w:pPr>
            <w:r>
              <w:rPr/>
              <w:t> </w:t>
            </w:r>
          </w:p>
        </w:tc>
      </w:tr>
      <w:tr>
        <w:trPr/>
        <w:tc>
          <w:tcPr>
            <w:tcW w:w="10205" w:type="dxa"/>
            <w:gridSpan w:val="13"/>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pPr>
      <w:r>
        <w:rPr/>
        <w:t>   </w:t>
      </w:r>
      <w:r>
        <w:rPr>
          <w:rFonts w:ascii="Times New Roman;Times;serif" w:hAnsi="Times New Roman;Times;serif"/>
          <w:b/>
          <w:sz w:val="17"/>
        </w:rPr>
        <w:t xml:space="preserve">Other non-cash investing and financing activities: </w:t>
      </w:r>
      <w:r>
        <w:rPr>
          <w:rFonts w:ascii="Times New Roman;Times;serif" w:hAnsi="Times New Roman;Times;serif"/>
          <w:sz w:val="17"/>
        </w:rPr>
        <w:t xml:space="preserve">Refer to Notes 5, 6 and 7.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interim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- 3 -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GENEMAX CORP.</w:t>
        <w:br/>
        <w:t>(a development stage company)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8" w:name="106"/>
      <w:bookmarkEnd w:id="8"/>
      <w:r>
        <w:rPr>
          <w:rFonts w:ascii="Times New Roman;Times;serif" w:hAnsi="Times New Roman;Times;serif"/>
          <w:b/>
          <w:sz w:val="17"/>
        </w:rPr>
        <w:t>NOTES TO INTERIM CONSOLIDATED FINANCIAL STATEMENTS</w:t>
        <w:br/>
        <w:t>JUNE 30, 2005 (Unaudited)</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  NATURE OF OPERATIONS AND BASIS OF PRESENTATION</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9, 2002, GeneMax Corp. (GMC or the company), a Nevada corporation entered into a letter of intent to acquire 100% of the issued and outstanding common shares of GeneMax Pharmaceuticals Inc. (a development stage company) (GPI), in exchange for a total of 11,431,965 restricted shares of common stock of GMC. During July and August, 2002 the company completed the transaction pursuant to a definitive Share Exchange Agreement and issued 11,231,965 restricted shares of common stock to the GPI stockholders and 200,000 shares of common stock as a finders fee. This acquisition was accounted for as a reverse merger. 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immunotherapeutics aimed at the treatment and eradication of cancer, and therapies for infectious diseases, autoimmune disorders and transplant tissue rejection.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The lead product resulting from these licenses is a cancer immunotherapy vaccine, on which the company has been completing pre-clinical work in anticipation of clinical trials. Specifically the company has advanced the technology through issuance of U.S. patents, tested various viral vectors needed to deliver the gene that forms the basis for the vaccine, licensed a preferred viral vector and contracted out production of a clinical grade vaccine. The company plans to continue development of the lead product vaccine (Transporters of Antigen Processing (TAP)) through clinical trials. The other technologies licensed include assays, which the company plans to use for generation of a pipeline of immune-modulation products. The assay technology acquired has received U.S. patent protection.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consolidated financial statements have been prepared on the basis of a going concern which contemplates the realization of assets and the satisfaction of liabilities in the normal course of business. As at June 30, 2005, the company has a working capital deficiency of $1,720,293, a capital deficiency of $1,700,717 and has incurred significant losses since inception and further losses are anticipated in the development of its products raising substantial doubt as to the companys ability to continue as a going concern. The ability of the company to continue as a going concern is dependent on raising additional capital to fund ongoing research and development and ultimately on generating future profitable operations. Costs relating to future clinical trials of the companys cancer immunotherapy vaccine are a part of normal product development and advancement. Since internally generated cash flow will not fund development and commercialization of the companys products, the company will require significant additional financial resources and will be dependant on future financings to fund its ongoing research and development as well as other working capital requirements. The companys future capital requirements will depend on many factors including the rate and extent of scientific progress in its research and development programs, the timing, cost and scope involved in its clinical trials, obtaining regulatory approvals and pursuing further patent protections and the timing and costs of its commercialization activities. The companys operations and financing requirements are expected to expand upon entering clinical trials with its TAP cancer vaccine.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Unaudited Interim Financial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accompanying unaudited interim consolidated financial statements have been prepared in accordance with generally accepted accounting principles for interim financial information and conforms with the instructions to Form 10-QSB of Regulation S-B. They may not include all information and footnotes required by generally accepted accounting principles for complete financial statements. However, except as disclosed herein, there has been no material changes in the information disclosed in the notes to the consolidated financial statements for the year ended December 31, 2004 included in the companys Annual Report on Form 10-KSB filed with the Securities and Exchange Commission. The interim unaudited consolidated financial statements should be read in conjunction with those financial statements included in the Form 10-KSB. In the opinion of Management, all adjustments considered necessary for a fair presentation, consisting solely of normal recurring adjustments, have been made. Operating results for the six months ended June 30, 2005 are not necessarily indicative of the results that may be expected for the year ending December 31, 2005 </w:t>
      </w:r>
    </w:p>
    <w:p>
      <w:pPr>
        <w:pStyle w:val="TextBody"/>
        <w:jc w:val="center"/>
        <w:rPr>
          <w:rFonts w:ascii="Times New Roman;Times;serif" w:hAnsi="Times New Roman;Times;serif"/>
          <w:sz w:val="17"/>
        </w:rPr>
      </w:pPr>
      <w:r>
        <w:rPr>
          <w:rFonts w:ascii="Times New Roman;Times;serif" w:hAnsi="Times New Roman;Times;serif"/>
          <w:sz w:val="17"/>
        </w:rPr>
        <w:t xml:space="preserve">- 4 -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NOTES TO INTERIM CONSOLIDATED FINANCIAL STATEMENTS</w:t>
        <w:br/>
        <w:t>(a development stage company)</w:t>
        <w:br/>
        <w:t>JUNE 30, 2005 (Unaudited)</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  SUMMARY OF SIGNIFICANT ACCOUNTING POLICIES</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Basis of Presentation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These consolidated financial statements have been presented in United States dollars and prepared in accordance with United States Generally Accepted Accounting Principles (US GAAP).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Principles of Consolidation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financial statements include the accounts of the company and its wholly-owned subsidiaries GPI and GPC as described in Note 1. All significant intercompany balances and transactions are eliminated on consolidation.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Use of Estimates and Assumptions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Preparation of the companys financial statements in conformity with United States generally accepted accounting principles requires management to make estimates and assumptions that affect certain reported amounts and disclosures. Accordingly, actual results could differ from those estimates. Significant areas requiring managements estimates and assumptions are determining the fair value of stock-based compensation, the fair value of the components of the convertible notes payable and the useful life of furniture and equipment.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Furniture and Equipment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Furniture and equipment are stated at cost. Depreciation is computed at the following rates over the estimated useful lives of the assets: Office furniture and equipment  36 months straight-line; Laboratory equipment  60 months straight-line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Deferred Finance Fees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Research and Development Costs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has acquired exclusive development and marketing rights to certain technologies through various License Agreements and Research Agreements as described in Note 3. The rights and license acquired are considered rights to unproven technology which may not have alternate future uses and therefore, have been expensed as incurred as research and development costs. Also, ongoing costs incurred in connection with the Collaborative Research Agreement are considered costs incurred in the development of unproven technology which may not have alternate future uses and therefore, have been expensed as incurred as research and development costs.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Fair Value of Financial Instruments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accordance with the requirements of SFAS No. 107, the company has determined the estimated fair value of financial instruments using available market information and appropriate valuation methodologies. The fair value of financial instruments classified as current assets or liabilities including cash, accounts payable and amounts due to related parties approximate carrying values due to the short-term maturity of the instruments. The convertible notes payable have been recorded at estimated fair value (refer to Note 5).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Foreign Currency Translation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financial statements are presented in United States dollars. In accordance with Statement of Financial Accounting Standards No. 52, Foreign Currency Translation, foreign denominated monetary assets and liabilities are translated into their United States dollar equivalents using foreign exchange rates which prevailed at the balance sheet date. Revenue and expenses are translated at average rates of exchange during the year. Related translation adjustments are reported as a separate component of stockholders equity, whereas gains or losses resulting from foreign currency transactions are included in results of operations. </w:t>
      </w:r>
    </w:p>
    <w:p>
      <w:pPr>
        <w:pStyle w:val="TextBody"/>
        <w:jc w:val="center"/>
        <w:rPr>
          <w:rFonts w:ascii="Times New Roman;Times;serif" w:hAnsi="Times New Roman;Times;serif"/>
          <w:sz w:val="17"/>
        </w:rPr>
      </w:pPr>
      <w:r>
        <w:rPr>
          <w:rFonts w:ascii="Times New Roman;Times;serif" w:hAnsi="Times New Roman;Times;serif"/>
          <w:sz w:val="17"/>
        </w:rPr>
        <w:t xml:space="preserve">- 5 -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NOTES TO INTERIM CONSOLIDATED FINANCIAL STATEMENTS</w:t>
        <w:br/>
        <w:t>(a development stage company)</w:t>
        <w:br/>
        <w:t>JUNE 30, 2005 (Unaudited)</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  SUMMARY OF SIGNIFICANT ACCOUNTING POLICIES (continued)</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Income Taxes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follows the liability method of accounting for income taxes. Under this method, deferred income tax assets and liabilities are recognized for the estimated tax consequences attributable to differences between the financial statement carrying values and their respective income tax basis (temporary differences). The effect on deferred income tax assets and liabilities of a change in tax rates is recognized in income in the period that includes the enactment date. At March 31, 2005 a full deferred tax asset valuation allowance has been provided and no deferred tax asset benefit has been recorded.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Net Loss per Common Share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Basic earnings (loss) per share includes no dilution and is computed by dividing income available to common stockholders by the weighted average number of common shares outstanding for the period. Dilutive earnings (loss) per share reflect the potential dilution of securities that could share in the earnings of the company. The accompanying presentation is only of basic loss per share as the potentially dilutive factors are anti-dilutive to basic loss per share.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Stock-Based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December 2002, the Financial Accounting Standards Board (FASB) issued Financial Accounting Standard No. 148, Accounting for Stock-Based Compensation  Transition and Disclosure (SFAS No. 148), an amendment of Financial Accounting Standard No. 123 Accounting for Stock-Based Compensation (SFAS No. 123). The purpose of SFAS No. 148 is to: (1) provide alternative methods of transition for an entity that voluntarily changes to the fair value based method of accounting for stock-based employee compensation, (2) amend the disclosure provisions to require prominent disclosure about the effects on reported net income of an entitys accounting policy decisions with respect to stock-based employee compensation, and (3) to require disclosure of those effects in interim financial information. The disclosure provisions of SFAS No. 148 were effective for the company for the year ended December 31, 2002 and the required disclosures have been made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has elected to continue to account for stock-based employee compensation arrangements in accordance with the provisions of Accounting Principles Board Opinion No. 25, Accounting for Stock Issued to Employees, (APB No. 25) and comply with the disclosure provisions of SFAS No. 123 as amended by SFAS No. 148 as described above. In addition, in accordance with SFAS No. 123 the company applies the fair value method using the Black-Scholes option-pricing model in accounting for options granted to consultants. Under APB No. 25, compensation expense for employees is recognized based on the difference, if any, on the date of grant between the estimated fair value of the companys stock and the amount an employee must pay to acquire the stock. Compensation expense is recognized immediately for past services and pro-rata for future services over the option-vesting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accordance with SFAS No. 123, the company applies the fair value method using the Black-Scholes option-pricing model in accounting for options granted to consultants.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illustrates the pro forma effect on net income (loss) and net income (loss) per share as if the company had accounted for its for stock-based employee compensation using the fair value provisions of SFAS No. 123 using the assumptions as described in Note 7: </w:t>
      </w:r>
    </w:p>
    <w:tbl>
      <w:tblPr>
        <w:tblW w:w="5000" w:type="pct"/>
        <w:jc w:val="center"/>
        <w:tblInd w:w="0" w:type="dxa"/>
        <w:tblCellMar>
          <w:top w:w="0" w:type="dxa"/>
          <w:left w:w="0" w:type="dxa"/>
          <w:bottom w:w="0" w:type="dxa"/>
          <w:right w:w="0" w:type="dxa"/>
        </w:tblCellMar>
      </w:tblPr>
      <w:tblGrid>
        <w:gridCol w:w="5907"/>
        <w:gridCol w:w="376"/>
        <w:gridCol w:w="345"/>
        <w:gridCol w:w="1025"/>
        <w:gridCol w:w="295"/>
        <w:gridCol w:w="385"/>
        <w:gridCol w:w="345"/>
        <w:gridCol w:w="1222"/>
        <w:gridCol w:w="305"/>
      </w:tblGrid>
      <w:tr>
        <w:trPr/>
        <w:tc>
          <w:tcPr>
            <w:tcW w:w="590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590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3922" w:type="dxa"/>
            <w:gridSpan w:val="7"/>
            <w:tcBorders>
              <w:bottom w:val="single" w:sz="2" w:space="0" w:color="000000"/>
            </w:tcBorders>
            <w:shd w:fill="auto" w:val="clear"/>
            <w:tcMar>
              <w:bottom w:w="28" w:type="dxa"/>
            </w:tcMar>
            <w:vAlign w:val="bottom"/>
          </w:tcPr>
          <w:p>
            <w:pPr>
              <w:pStyle w:val="TableContents"/>
              <w:spacing w:before="0" w:after="283"/>
              <w:jc w:val="center"/>
              <w:rPr/>
            </w:pPr>
            <w:r>
              <w:rPr/>
              <w:t>For the period ended June 30,</w:t>
            </w:r>
          </w:p>
        </w:tc>
      </w:tr>
      <w:tr>
        <w:trPr/>
        <w:tc>
          <w:tcPr>
            <w:tcW w:w="590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665" w:type="dxa"/>
            <w:gridSpan w:val="3"/>
            <w:tcBorders/>
            <w:shd w:fill="auto" w:val="clear"/>
            <w:vAlign w:val="bottom"/>
          </w:tcPr>
          <w:p>
            <w:pPr>
              <w:pStyle w:val="TableContents"/>
              <w:spacing w:before="0" w:after="283"/>
              <w:jc w:val="center"/>
              <w:rPr/>
            </w:pPr>
            <w:r>
              <w:rPr/>
              <w:t>2005</w:t>
            </w:r>
          </w:p>
        </w:tc>
        <w:tc>
          <w:tcPr>
            <w:tcW w:w="385" w:type="dxa"/>
            <w:tcBorders/>
            <w:shd w:fill="auto" w:val="clear"/>
            <w:vAlign w:val="bottom"/>
          </w:tcPr>
          <w:p>
            <w:pPr>
              <w:pStyle w:val="TableContents"/>
              <w:spacing w:before="0" w:after="283"/>
              <w:rPr/>
            </w:pPr>
            <w:r>
              <w:rPr/>
              <w:t> </w:t>
            </w:r>
          </w:p>
        </w:tc>
        <w:tc>
          <w:tcPr>
            <w:tcW w:w="1872" w:type="dxa"/>
            <w:gridSpan w:val="3"/>
            <w:tcBorders/>
            <w:shd w:fill="auto" w:val="clear"/>
            <w:vAlign w:val="bottom"/>
          </w:tcPr>
          <w:p>
            <w:pPr>
              <w:pStyle w:val="TableContents"/>
              <w:spacing w:before="0" w:after="283"/>
              <w:jc w:val="center"/>
              <w:rPr/>
            </w:pPr>
            <w:r>
              <w:rPr/>
              <w:t>2004</w:t>
            </w:r>
          </w:p>
        </w:tc>
      </w:tr>
      <w:tr>
        <w:trPr/>
        <w:tc>
          <w:tcPr>
            <w:tcW w:w="590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92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907" w:type="dxa"/>
            <w:tcBorders/>
            <w:shd w:fill="CCEEFF" w:val="clear"/>
            <w:vAlign w:val="bottom"/>
          </w:tcPr>
          <w:p>
            <w:pPr>
              <w:pStyle w:val="TableContents"/>
              <w:spacing w:before="0" w:after="0"/>
              <w:ind w:left="225" w:right="0" w:hanging="225"/>
              <w:rPr/>
            </w:pPr>
            <w:r>
              <w:rPr/>
              <w:t>Net loss for the period as reported</w:t>
            </w:r>
          </w:p>
        </w:tc>
        <w:tc>
          <w:tcPr>
            <w:tcW w:w="37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jc w:val="right"/>
              <w:rPr/>
            </w:pPr>
            <w:r>
              <w:rPr/>
              <w:t>$</w:t>
            </w:r>
          </w:p>
        </w:tc>
        <w:tc>
          <w:tcPr>
            <w:tcW w:w="1025" w:type="dxa"/>
            <w:tcBorders/>
            <w:shd w:fill="CCEEFF" w:val="clear"/>
            <w:vAlign w:val="bottom"/>
          </w:tcPr>
          <w:p>
            <w:pPr>
              <w:pStyle w:val="TableContents"/>
              <w:spacing w:before="0" w:after="283"/>
              <w:jc w:val="right"/>
              <w:rPr/>
            </w:pPr>
            <w:r>
              <w:rPr/>
              <w:t>(484,627</w:t>
            </w:r>
          </w:p>
        </w:tc>
        <w:tc>
          <w:tcPr>
            <w:tcW w:w="295" w:type="dxa"/>
            <w:tcBorders/>
            <w:shd w:fill="CCEEFF" w:val="clear"/>
            <w:vAlign w:val="bottom"/>
          </w:tcPr>
          <w:p>
            <w:pPr>
              <w:pStyle w:val="TableContents"/>
              <w:spacing w:before="0" w:after="283"/>
              <w:rPr/>
            </w:pPr>
            <w:r>
              <w:rPr/>
              <w:t>)</w:t>
            </w:r>
          </w:p>
        </w:tc>
        <w:tc>
          <w:tcPr>
            <w:tcW w:w="385"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jc w:val="right"/>
              <w:rPr/>
            </w:pPr>
            <w:r>
              <w:rPr/>
              <w:t>$</w:t>
            </w:r>
          </w:p>
        </w:tc>
        <w:tc>
          <w:tcPr>
            <w:tcW w:w="1222" w:type="dxa"/>
            <w:tcBorders/>
            <w:shd w:fill="CCEEFF" w:val="clear"/>
            <w:vAlign w:val="bottom"/>
          </w:tcPr>
          <w:p>
            <w:pPr>
              <w:pStyle w:val="TableContents"/>
              <w:spacing w:before="0" w:after="283"/>
              <w:jc w:val="right"/>
              <w:rPr/>
            </w:pPr>
            <w:r>
              <w:rPr/>
              <w:t>(1,190,395</w:t>
            </w:r>
          </w:p>
        </w:tc>
        <w:tc>
          <w:tcPr>
            <w:tcW w:w="305" w:type="dxa"/>
            <w:tcBorders/>
            <w:shd w:fill="CCEEFF" w:val="clear"/>
            <w:vAlign w:val="bottom"/>
          </w:tcPr>
          <w:p>
            <w:pPr>
              <w:pStyle w:val="TableContents"/>
              <w:spacing w:before="0" w:after="283"/>
              <w:rPr/>
            </w:pPr>
            <w:r>
              <w:rPr/>
              <w:t>)</w:t>
            </w:r>
          </w:p>
        </w:tc>
      </w:tr>
      <w:tr>
        <w:trPr/>
        <w:tc>
          <w:tcPr>
            <w:tcW w:w="5907" w:type="dxa"/>
            <w:tcBorders/>
            <w:shd w:fill="auto" w:val="clear"/>
            <w:vAlign w:val="bottom"/>
          </w:tcPr>
          <w:p>
            <w:pPr>
              <w:pStyle w:val="TableContents"/>
              <w:spacing w:before="0" w:after="0"/>
              <w:ind w:left="225" w:right="0" w:hanging="225"/>
              <w:rPr/>
            </w:pPr>
            <w:r>
              <w:rPr/>
              <w:t>Additional SFAS 123 employee compensation expense</w:t>
            </w:r>
          </w:p>
        </w:tc>
        <w:tc>
          <w:tcPr>
            <w:tcW w:w="37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w:t>
            </w:r>
          </w:p>
        </w:tc>
        <w:tc>
          <w:tcPr>
            <w:tcW w:w="2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jc w:val="right"/>
              <w:rPr/>
            </w:pPr>
            <w:r>
              <w:rPr/>
              <w:t> </w:t>
            </w:r>
          </w:p>
        </w:tc>
        <w:tc>
          <w:tcPr>
            <w:tcW w:w="1222" w:type="dxa"/>
            <w:tcBorders/>
            <w:shd w:fill="auto" w:val="clear"/>
            <w:vAlign w:val="bottom"/>
          </w:tcPr>
          <w:p>
            <w:pPr>
              <w:pStyle w:val="TableContents"/>
              <w:spacing w:before="0" w:after="283"/>
              <w:jc w:val="right"/>
              <w:rPr/>
            </w:pPr>
            <w:r>
              <w:rPr/>
              <w:t>(33,500</w:t>
            </w:r>
          </w:p>
        </w:tc>
        <w:tc>
          <w:tcPr>
            <w:tcW w:w="305" w:type="dxa"/>
            <w:tcBorders/>
            <w:shd w:fill="auto" w:val="clear"/>
            <w:vAlign w:val="bottom"/>
          </w:tcPr>
          <w:p>
            <w:pPr>
              <w:pStyle w:val="TableContents"/>
              <w:spacing w:before="0" w:after="283"/>
              <w:rPr/>
            </w:pPr>
            <w:r>
              <w:rPr/>
              <w:t>)</w:t>
            </w:r>
          </w:p>
        </w:tc>
      </w:tr>
      <w:tr>
        <w:trPr/>
        <w:tc>
          <w:tcPr>
            <w:tcW w:w="590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92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907" w:type="dxa"/>
            <w:tcBorders/>
            <w:shd w:fill="auto" w:val="clear"/>
            <w:vAlign w:val="bottom"/>
          </w:tcPr>
          <w:p>
            <w:pPr>
              <w:pStyle w:val="TableContents"/>
              <w:spacing w:before="0" w:after="0"/>
              <w:ind w:left="225" w:right="0" w:hanging="225"/>
              <w:rPr/>
            </w:pPr>
            <w:r>
              <w:rPr/>
              <w:t> </w:t>
            </w:r>
          </w:p>
        </w:tc>
        <w:tc>
          <w:tcPr>
            <w:tcW w:w="37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5907" w:type="dxa"/>
            <w:tcBorders/>
            <w:shd w:fill="CCEEFF" w:val="clear"/>
            <w:vAlign w:val="bottom"/>
          </w:tcPr>
          <w:p>
            <w:pPr>
              <w:pStyle w:val="TableContents"/>
              <w:spacing w:before="0" w:after="0"/>
              <w:ind w:left="225" w:right="0" w:hanging="225"/>
              <w:rPr/>
            </w:pPr>
            <w:r>
              <w:rPr/>
              <w:t>Pro-forma net loss for the period</w:t>
            </w:r>
          </w:p>
        </w:tc>
        <w:tc>
          <w:tcPr>
            <w:tcW w:w="37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jc w:val="right"/>
              <w:rPr/>
            </w:pPr>
            <w:r>
              <w:rPr/>
              <w:t>$</w:t>
            </w:r>
          </w:p>
        </w:tc>
        <w:tc>
          <w:tcPr>
            <w:tcW w:w="1025" w:type="dxa"/>
            <w:tcBorders/>
            <w:shd w:fill="CCEEFF" w:val="clear"/>
            <w:vAlign w:val="bottom"/>
          </w:tcPr>
          <w:p>
            <w:pPr>
              <w:pStyle w:val="TableContents"/>
              <w:spacing w:before="0" w:after="283"/>
              <w:jc w:val="right"/>
              <w:rPr/>
            </w:pPr>
            <w:r>
              <w:rPr/>
              <w:t>(484,627</w:t>
            </w:r>
          </w:p>
        </w:tc>
        <w:tc>
          <w:tcPr>
            <w:tcW w:w="295" w:type="dxa"/>
            <w:tcBorders/>
            <w:shd w:fill="CCEEFF" w:val="clear"/>
            <w:vAlign w:val="bottom"/>
          </w:tcPr>
          <w:p>
            <w:pPr>
              <w:pStyle w:val="TableContents"/>
              <w:spacing w:before="0" w:after="283"/>
              <w:rPr/>
            </w:pPr>
            <w:r>
              <w:rPr/>
              <w:t>)</w:t>
            </w:r>
          </w:p>
        </w:tc>
        <w:tc>
          <w:tcPr>
            <w:tcW w:w="385"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jc w:val="right"/>
              <w:rPr/>
            </w:pPr>
            <w:r>
              <w:rPr/>
              <w:t>$</w:t>
            </w:r>
          </w:p>
        </w:tc>
        <w:tc>
          <w:tcPr>
            <w:tcW w:w="1222" w:type="dxa"/>
            <w:tcBorders/>
            <w:shd w:fill="CCEEFF" w:val="clear"/>
            <w:vAlign w:val="bottom"/>
          </w:tcPr>
          <w:p>
            <w:pPr>
              <w:pStyle w:val="TableContents"/>
              <w:spacing w:before="0" w:after="283"/>
              <w:jc w:val="right"/>
              <w:rPr/>
            </w:pPr>
            <w:r>
              <w:rPr/>
              <w:t>(1,223,895</w:t>
            </w:r>
          </w:p>
        </w:tc>
        <w:tc>
          <w:tcPr>
            <w:tcW w:w="305" w:type="dxa"/>
            <w:tcBorders/>
            <w:shd w:fill="CCEEFF" w:val="clear"/>
            <w:vAlign w:val="bottom"/>
          </w:tcPr>
          <w:p>
            <w:pPr>
              <w:pStyle w:val="TableContents"/>
              <w:spacing w:before="0" w:after="283"/>
              <w:rPr/>
            </w:pPr>
            <w:r>
              <w:rPr/>
              <w:t>)</w:t>
            </w:r>
          </w:p>
        </w:tc>
      </w:tr>
      <w:tr>
        <w:trPr/>
        <w:tc>
          <w:tcPr>
            <w:tcW w:w="590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922"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5907" w:type="dxa"/>
            <w:tcBorders/>
            <w:shd w:fill="auto" w:val="clear"/>
            <w:vAlign w:val="bottom"/>
          </w:tcPr>
          <w:p>
            <w:pPr>
              <w:pStyle w:val="TableContents"/>
              <w:spacing w:before="0" w:after="0"/>
              <w:ind w:left="225" w:right="0" w:hanging="225"/>
              <w:rPr/>
            </w:pPr>
            <w:r>
              <w:rPr/>
              <w:t> </w:t>
            </w:r>
          </w:p>
        </w:tc>
        <w:tc>
          <w:tcPr>
            <w:tcW w:w="37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5907" w:type="dxa"/>
            <w:tcBorders/>
            <w:shd w:fill="auto" w:val="clear"/>
            <w:vAlign w:val="bottom"/>
          </w:tcPr>
          <w:p>
            <w:pPr>
              <w:pStyle w:val="TableContents"/>
              <w:spacing w:before="0" w:after="0"/>
              <w:ind w:left="225" w:right="0" w:hanging="225"/>
              <w:rPr/>
            </w:pPr>
            <w:r>
              <w:rPr/>
              <w:t>Pro-forma basic net loss per share</w:t>
            </w:r>
          </w:p>
        </w:tc>
        <w:tc>
          <w:tcPr>
            <w:tcW w:w="37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jc w:val="right"/>
              <w:rPr/>
            </w:pPr>
            <w:r>
              <w:rPr/>
              <w:t>$</w:t>
            </w:r>
          </w:p>
        </w:tc>
        <w:tc>
          <w:tcPr>
            <w:tcW w:w="1025" w:type="dxa"/>
            <w:tcBorders/>
            <w:shd w:fill="auto" w:val="clear"/>
            <w:vAlign w:val="bottom"/>
          </w:tcPr>
          <w:p>
            <w:pPr>
              <w:pStyle w:val="TableContents"/>
              <w:spacing w:before="0" w:after="283"/>
              <w:jc w:val="right"/>
              <w:rPr/>
            </w:pPr>
            <w:r>
              <w:rPr/>
              <w:t>(0.02</w:t>
            </w:r>
          </w:p>
        </w:tc>
        <w:tc>
          <w:tcPr>
            <w:tcW w:w="295" w:type="dxa"/>
            <w:tcBorders/>
            <w:shd w:fill="auto" w:val="clear"/>
            <w:vAlign w:val="bottom"/>
          </w:tcPr>
          <w:p>
            <w:pPr>
              <w:pStyle w:val="TableContents"/>
              <w:spacing w:before="0" w:after="283"/>
              <w:rPr/>
            </w:pPr>
            <w:r>
              <w:rPr/>
              <w:t>)</w:t>
            </w:r>
          </w:p>
        </w:tc>
        <w:tc>
          <w:tcPr>
            <w:tcW w:w="38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jc w:val="right"/>
              <w:rPr/>
            </w:pPr>
            <w:r>
              <w:rPr/>
              <w:t>$</w:t>
            </w:r>
          </w:p>
        </w:tc>
        <w:tc>
          <w:tcPr>
            <w:tcW w:w="1222" w:type="dxa"/>
            <w:tcBorders/>
            <w:shd w:fill="auto" w:val="clear"/>
            <w:vAlign w:val="bottom"/>
          </w:tcPr>
          <w:p>
            <w:pPr>
              <w:pStyle w:val="TableContents"/>
              <w:spacing w:before="0" w:after="283"/>
              <w:jc w:val="right"/>
              <w:rPr/>
            </w:pPr>
            <w:r>
              <w:rPr/>
              <w:t>(0.06</w:t>
            </w:r>
          </w:p>
        </w:tc>
        <w:tc>
          <w:tcPr>
            <w:tcW w:w="305" w:type="dxa"/>
            <w:tcBorders/>
            <w:shd w:fill="auto" w:val="clear"/>
            <w:vAlign w:val="bottom"/>
          </w:tcPr>
          <w:p>
            <w:pPr>
              <w:pStyle w:val="TableContents"/>
              <w:spacing w:before="0" w:after="283"/>
              <w:rPr/>
            </w:pPr>
            <w:r>
              <w:rPr/>
              <w:t>)</w:t>
            </w:r>
          </w:p>
        </w:tc>
      </w:tr>
      <w:tr>
        <w:trPr/>
        <w:tc>
          <w:tcPr>
            <w:tcW w:w="590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3922"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- 6 -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NOTES TO INTERIM CONSOLIDATED FINANCIAL STATEMENTS</w:t>
        <w:br/>
        <w:t>(a development stage company)</w:t>
        <w:br/>
        <w:t>JUNE 30, 2005 (Unaudited)</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  SUMMARY OF SIGNIFICANT ACCOUNTING POLICIES (continued)</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has also adopted the provisions of the FASB No. 44, Accounting for Certain Transactions Involving Stock Compensation  An Interpretation of APB Opinion No. 25 (FIN 44), which provides guidance as to certain applications of APB 25. FIN 44 is generally effective July 1, 2000 with the exception of certain events occurring after December 15, 1998.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3  RESEARCH AGREEMENTS</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University of British Columbia (UBC)</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September 14, 1999 GPI entered into an Option Agreement (Option) whereby UBC granted GPI an option to obtain a world-wide license from UBC providing GPI the exclusive license rights to certain patented and unpatented cancer immuno-therapy technologies originally invented and developed by UBC. The Option was for a term of 180 days and prior to being eligible to exercise the Option, GPI was to make a reasonable commercial effort to raise equity funding in an amount not less than CAN$1,000,000 to fund ongoing research and issue 500,000 founders common shares to UBC and an additional 3,600,000 founders common shares to certain principals involved in the UBC research. Having satisfied all of the conditions on or before March 6, 2000, GPI exercised the Option and obtained from UBC, the exclusive license rights as described above for meeting the specific terms of the Option plus a further payment of $78,743. The License will terminate after 15 years or upon the expiration of the last patent obtained relating to the licensed technology. The cost of obtaining any patents will be the responsibility of GPI. The technology remains the property of UBC, however, it may be utilized and improved by GPI. Concurrent with the execution of the license the head researcher at UBC became a director of GPI.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GPI and UBC entered into a Collaborative Research Agreement (CRA) dated September 1, 2000 appointing UBC to carry out further development of the licensed technology and providing GPI the option to acquire the rights to commercialize any additional technologies developed within the CRA in consideration for certain funding commitments totaling CAN$498,980 to be paid in four equal instalments of CAN$124,725 due upon execution of the CRA, September 30, 2000, January 1, 2001 and March 31, 2001 of which $374,215 was paid. Through a series of amendments between November 28, 2000 and September 9, 2002, the funding commitment was increased to a total of CAN$ 2,973,049 of which CAN$991,515 was to be paid for the year ended December 31, 2002, CAN$1,135,801 to be paid in 2003 and CAN$471,518 to be paid in 2004. As at December 31, 2004 CAN$235,759 was payable in connection with the original CRA terms. In addition, as required by the CRA, GPI has purchased certain laboratory equipment in connection with the ongoing research. The CRA ended on its scheduled termination date of August 31, 2004. For the period from September 1, 2004 to December 31, 2004 the company recorded a further CAN$568,195 in connection with ongoing research and patent activities and cost overruns on the original CRA with UBC resulting in a total of CAN$803,954 (US$668,847) owing to UBC as at December 31, 2004. The company has made payments of CAN$335,000 during 2005 leaving a balance of $468,954 (US$380,045) owing as of June 30, 2005.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2005 the company and UBC negotiated a one year extension of the CRA expiring May 30, 2006 with a total additional funding commitment by the company of CAN$294,696. The payment schedule for this contract is as follows: </w:t>
      </w:r>
    </w:p>
    <w:tbl>
      <w:tblPr>
        <w:tblW w:w="4000" w:type="pct"/>
        <w:jc w:val="center"/>
        <w:tblInd w:w="0" w:type="dxa"/>
        <w:tblCellMar>
          <w:top w:w="0" w:type="dxa"/>
          <w:left w:w="0" w:type="dxa"/>
          <w:bottom w:w="0" w:type="dxa"/>
          <w:right w:w="0" w:type="dxa"/>
        </w:tblCellMar>
      </w:tblPr>
      <w:tblGrid>
        <w:gridCol w:w="3675"/>
        <w:gridCol w:w="813"/>
        <w:gridCol w:w="3676"/>
      </w:tblGrid>
      <w:tr>
        <w:trPr/>
        <w:tc>
          <w:tcPr>
            <w:tcW w:w="367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pPr>
            <w:r>
              <w:rPr/>
              <w:t> </w:t>
            </w:r>
          </w:p>
        </w:tc>
      </w:tr>
      <w:tr>
        <w:trPr/>
        <w:tc>
          <w:tcPr>
            <w:tcW w:w="3675" w:type="dxa"/>
            <w:tcBorders/>
            <w:shd w:fill="auto" w:val="clear"/>
          </w:tcPr>
          <w:p>
            <w:pPr>
              <w:pStyle w:val="TableContents"/>
              <w:spacing w:before="0" w:after="0"/>
              <w:ind w:left="0" w:right="0" w:hanging="0"/>
              <w:rPr/>
            </w:pPr>
            <w:r>
              <w:rPr/>
              <w:t xml:space="preserve">Upon execution of the Agreement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CAN$73,674 (paid May 2005)</w:t>
            </w:r>
          </w:p>
        </w:tc>
      </w:tr>
      <w:tr>
        <w:trPr/>
        <w:tc>
          <w:tcPr>
            <w:tcW w:w="3675" w:type="dxa"/>
            <w:tcBorders/>
            <w:shd w:fill="auto" w:val="clear"/>
          </w:tcPr>
          <w:p>
            <w:pPr>
              <w:pStyle w:val="TableContents"/>
              <w:spacing w:before="0" w:after="0"/>
              <w:ind w:left="0" w:right="0" w:hanging="0"/>
              <w:rPr/>
            </w:pPr>
            <w:r>
              <w:rPr/>
              <w:t xml:space="preserve">June 1, 2005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CAN$73,674 (paid June 2005)</w:t>
            </w:r>
          </w:p>
        </w:tc>
      </w:tr>
      <w:tr>
        <w:trPr/>
        <w:tc>
          <w:tcPr>
            <w:tcW w:w="3675" w:type="dxa"/>
            <w:tcBorders/>
            <w:shd w:fill="auto" w:val="clear"/>
          </w:tcPr>
          <w:p>
            <w:pPr>
              <w:pStyle w:val="TableContents"/>
              <w:spacing w:before="0" w:after="0"/>
              <w:ind w:left="0" w:right="0" w:hanging="0"/>
              <w:rPr/>
            </w:pPr>
            <w:r>
              <w:rPr/>
              <w:t xml:space="preserve">September 1, 2005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CAN$73,674</w:t>
            </w:r>
          </w:p>
        </w:tc>
      </w:tr>
      <w:tr>
        <w:trPr/>
        <w:tc>
          <w:tcPr>
            <w:tcW w:w="3675" w:type="dxa"/>
            <w:tcBorders/>
            <w:shd w:fill="auto" w:val="clear"/>
          </w:tcPr>
          <w:p>
            <w:pPr>
              <w:pStyle w:val="TableContents"/>
              <w:spacing w:before="0" w:after="0"/>
              <w:ind w:left="0" w:right="0" w:hanging="0"/>
              <w:rPr/>
            </w:pPr>
            <w:r>
              <w:rPr/>
              <w:t xml:space="preserve">December 1, 2005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CAN$73,674</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- 7 -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NOTES TO INTERIM CONSOLIDATED FINANCIAL STATEMENTS</w:t>
        <w:br/>
        <w:t>(a development stage company)</w:t>
        <w:br/>
        <w:t>JUNE 30, 2005 (Unaudited)</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3  RESEARCH AGREEMENTS (continued)</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the company and UBC agreed on a payment schedule for the balance of CAN$803,954 payable at December 31, 2004 as follows: </w:t>
      </w:r>
    </w:p>
    <w:tbl>
      <w:tblPr>
        <w:tblW w:w="4000" w:type="pct"/>
        <w:jc w:val="center"/>
        <w:tblInd w:w="0" w:type="dxa"/>
        <w:tblCellMar>
          <w:top w:w="0" w:type="dxa"/>
          <w:left w:w="0" w:type="dxa"/>
          <w:bottom w:w="0" w:type="dxa"/>
          <w:right w:w="0" w:type="dxa"/>
        </w:tblCellMar>
      </w:tblPr>
      <w:tblGrid>
        <w:gridCol w:w="3675"/>
        <w:gridCol w:w="813"/>
        <w:gridCol w:w="3676"/>
      </w:tblGrid>
      <w:tr>
        <w:trPr/>
        <w:tc>
          <w:tcPr>
            <w:tcW w:w="367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pPr>
            <w:r>
              <w:rPr/>
              <w:t> </w:t>
            </w:r>
          </w:p>
        </w:tc>
      </w:tr>
      <w:tr>
        <w:trPr/>
        <w:tc>
          <w:tcPr>
            <w:tcW w:w="3675" w:type="dxa"/>
            <w:tcBorders/>
            <w:shd w:fill="auto" w:val="clear"/>
          </w:tcPr>
          <w:p>
            <w:pPr>
              <w:pStyle w:val="TableContents"/>
              <w:spacing w:before="0" w:after="0"/>
              <w:ind w:left="0" w:right="0" w:hanging="0"/>
              <w:rPr/>
            </w:pPr>
            <w:r>
              <w:rPr/>
              <w:t xml:space="preserve">Upon executions of the Agreement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CAN$335,000 (paid in May 2005)</w:t>
            </w:r>
          </w:p>
        </w:tc>
      </w:tr>
      <w:tr>
        <w:trPr/>
        <w:tc>
          <w:tcPr>
            <w:tcW w:w="3675" w:type="dxa"/>
            <w:tcBorders/>
            <w:shd w:fill="auto" w:val="clear"/>
          </w:tcPr>
          <w:p>
            <w:pPr>
              <w:pStyle w:val="TableContents"/>
              <w:spacing w:before="0" w:after="0"/>
              <w:ind w:left="0" w:right="0" w:hanging="0"/>
              <w:rPr/>
            </w:pPr>
            <w:r>
              <w:rPr/>
              <w:t xml:space="preserve">August 1, 2005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CAN$100,000 (not paid)</w:t>
            </w:r>
          </w:p>
        </w:tc>
      </w:tr>
      <w:tr>
        <w:trPr/>
        <w:tc>
          <w:tcPr>
            <w:tcW w:w="3675" w:type="dxa"/>
            <w:tcBorders/>
            <w:shd w:fill="auto" w:val="clear"/>
          </w:tcPr>
          <w:p>
            <w:pPr>
              <w:pStyle w:val="TableContents"/>
              <w:spacing w:before="0" w:after="0"/>
              <w:ind w:left="0" w:right="0" w:hanging="0"/>
              <w:rPr/>
            </w:pPr>
            <w:r>
              <w:rPr/>
              <w:t xml:space="preserve">November 1, 2005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CAN$100,000</w:t>
            </w:r>
          </w:p>
        </w:tc>
      </w:tr>
      <w:tr>
        <w:trPr/>
        <w:tc>
          <w:tcPr>
            <w:tcW w:w="3675" w:type="dxa"/>
            <w:tcBorders/>
            <w:shd w:fill="auto" w:val="clear"/>
          </w:tcPr>
          <w:p>
            <w:pPr>
              <w:pStyle w:val="TableContents"/>
              <w:spacing w:before="0" w:after="0"/>
              <w:ind w:left="0" w:right="0" w:hanging="0"/>
              <w:rPr/>
            </w:pPr>
            <w:r>
              <w:rPr/>
              <w:t xml:space="preserve">February 1, 2005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CAN$100,000</w:t>
            </w:r>
          </w:p>
        </w:tc>
      </w:tr>
      <w:tr>
        <w:trPr/>
        <w:tc>
          <w:tcPr>
            <w:tcW w:w="3675" w:type="dxa"/>
            <w:tcBorders/>
            <w:shd w:fill="auto" w:val="clear"/>
          </w:tcPr>
          <w:p>
            <w:pPr>
              <w:pStyle w:val="TableContents"/>
              <w:spacing w:before="0" w:after="0"/>
              <w:ind w:left="0" w:right="0" w:hanging="0"/>
              <w:rPr/>
            </w:pPr>
            <w:r>
              <w:rPr/>
              <w:t xml:space="preserve">May 1, 2006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CAN$100,000</w:t>
            </w:r>
          </w:p>
        </w:tc>
      </w:tr>
      <w:tr>
        <w:trPr/>
        <w:tc>
          <w:tcPr>
            <w:tcW w:w="3675" w:type="dxa"/>
            <w:tcBorders/>
            <w:shd w:fill="auto" w:val="clear"/>
          </w:tcPr>
          <w:p>
            <w:pPr>
              <w:pStyle w:val="TableContents"/>
              <w:spacing w:before="0" w:after="0"/>
              <w:ind w:left="0" w:right="0" w:hanging="0"/>
              <w:rPr/>
            </w:pPr>
            <w:r>
              <w:rPr/>
              <w:t xml:space="preserve">May 15, 2006 </w:t>
            </w:r>
          </w:p>
        </w:tc>
        <w:tc>
          <w:tcPr>
            <w:tcW w:w="813"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CAN$68,954</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2004, the company entered in to an exclusive worldwide license agreement with UBC for the use of a novel assay technology intended to be used to screen and select new drugs that regulate immune responses. The term of the license is for the longer of 20 years and the last expiry of a patent obtained in connection with the technology. In consideration for the license, during 2003 the company issued to UBC 10,000 restricted shares of common stock with a fair value of $10,000 and must pay an annual maintenance fee of $500 and all costs required to obtain any patents related thereto.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Crucell Holland B.V. (Crucell)  Research License and Option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August 7, 2003 Crucell and GPI entered into a five year Research License and Option Agreement whereby Crucell granted to GPI a non-exclusive worldwide license for the research use of its PER.C6 technology. The Agreement includes an option for a non-exclusive worldwide commercial license to manufacture, use, offer for sale, sell and import products using the technology. Under the terms of the agreement, the company is required to make initial and ongoing option maintenance payments over the five year term totalling 450,000 Euros due upon invoice from Crucell. To December 31, 2003 the company had made all payments required totalling $115,490 (100,000 Euros), a further $60,864 (50,000 Euros) was incurred during the first quarter of 2004 a further $60,103 (50,000 Euros) was incurred during the third quarter of 2004 and a further $64,300 (50,000 Euros) was incurred during 2005 leaving $185,267 (150,000 Euros) owing as at December 31, 2004 and June 30, 2005 under the terms of the agreement. Effective July 6, 2005 Crucell has given the company notice of default. The company has three months to remedy this issue.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Molecular Medicine BioServices, Inc. (Molecular Medicine)  Production Service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March 18, 2003 Molecular Medicine and GMC entered into a Production Service Agreement, as amended on August 29, 2003, whereby Molecular Medicine will produce the clinical vector for delivery of the TAP gene used in the companys cancer immunotherapy product. Total obligations under the contract are $232,000 payable to Molecular Medicine plus an estimated $110,000 to $145,000 in third-party testing costs. To December 31, 2003 the company has made all payments required under the terms of the agreement totalling $108,500 and during 2004 a further $15,000 has been incurred and is owing as at June 30, 2005. This contract has been re-negotiated and will require Molecular Medicine to quality control the vaccine vector prior to commencing production.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  FURNITURE AND EQUIPMENT</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6119"/>
        <w:gridCol w:w="400"/>
        <w:gridCol w:w="338"/>
        <w:gridCol w:w="892"/>
        <w:gridCol w:w="295"/>
        <w:gridCol w:w="400"/>
        <w:gridCol w:w="366"/>
        <w:gridCol w:w="1074"/>
        <w:gridCol w:w="321"/>
      </w:tblGrid>
      <w:tr>
        <w:trPr/>
        <w:tc>
          <w:tcPr>
            <w:tcW w:w="611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r>
      <w:tr>
        <w:trPr/>
        <w:tc>
          <w:tcPr>
            <w:tcW w:w="611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525" w:type="dxa"/>
            <w:gridSpan w:val="3"/>
            <w:tcBorders/>
            <w:shd w:fill="auto" w:val="clear"/>
            <w:vAlign w:val="bottom"/>
          </w:tcPr>
          <w:p>
            <w:pPr>
              <w:pStyle w:val="TableContents"/>
              <w:spacing w:before="0" w:after="283"/>
              <w:jc w:val="center"/>
              <w:rPr/>
            </w:pPr>
            <w:r>
              <w:rPr/>
              <w:t>June 30,</w:t>
            </w:r>
          </w:p>
        </w:tc>
        <w:tc>
          <w:tcPr>
            <w:tcW w:w="400" w:type="dxa"/>
            <w:tcBorders/>
            <w:shd w:fill="auto" w:val="clear"/>
            <w:vAlign w:val="bottom"/>
          </w:tcPr>
          <w:p>
            <w:pPr>
              <w:pStyle w:val="TableContents"/>
              <w:spacing w:before="0" w:after="283"/>
              <w:rPr/>
            </w:pPr>
            <w:r>
              <w:rPr/>
              <w:t> </w:t>
            </w:r>
          </w:p>
        </w:tc>
        <w:tc>
          <w:tcPr>
            <w:tcW w:w="1761" w:type="dxa"/>
            <w:gridSpan w:val="3"/>
            <w:tcBorders/>
            <w:shd w:fill="auto" w:val="clear"/>
            <w:vAlign w:val="bottom"/>
          </w:tcPr>
          <w:p>
            <w:pPr>
              <w:pStyle w:val="TableContents"/>
              <w:spacing w:before="0" w:after="283"/>
              <w:jc w:val="center"/>
              <w:rPr/>
            </w:pPr>
            <w:r>
              <w:rPr/>
              <w:t>December 31,</w:t>
            </w:r>
          </w:p>
        </w:tc>
      </w:tr>
      <w:tr>
        <w:trPr/>
        <w:tc>
          <w:tcPr>
            <w:tcW w:w="611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525" w:type="dxa"/>
            <w:gridSpan w:val="3"/>
            <w:tcBorders/>
            <w:shd w:fill="auto" w:val="clear"/>
            <w:vAlign w:val="bottom"/>
          </w:tcPr>
          <w:p>
            <w:pPr>
              <w:pStyle w:val="TableContents"/>
              <w:spacing w:before="0" w:after="283"/>
              <w:jc w:val="center"/>
              <w:rPr/>
            </w:pPr>
            <w:r>
              <w:rPr/>
              <w:t>2005</w:t>
            </w:r>
          </w:p>
        </w:tc>
        <w:tc>
          <w:tcPr>
            <w:tcW w:w="400" w:type="dxa"/>
            <w:tcBorders/>
            <w:shd w:fill="auto" w:val="clear"/>
            <w:vAlign w:val="bottom"/>
          </w:tcPr>
          <w:p>
            <w:pPr>
              <w:pStyle w:val="TableContents"/>
              <w:spacing w:before="0" w:after="283"/>
              <w:rPr/>
            </w:pPr>
            <w:r>
              <w:rPr/>
              <w:t> </w:t>
            </w:r>
          </w:p>
        </w:tc>
        <w:tc>
          <w:tcPr>
            <w:tcW w:w="1761" w:type="dxa"/>
            <w:gridSpan w:val="3"/>
            <w:tcBorders/>
            <w:shd w:fill="auto" w:val="clear"/>
            <w:vAlign w:val="bottom"/>
          </w:tcPr>
          <w:p>
            <w:pPr>
              <w:pStyle w:val="TableContents"/>
              <w:spacing w:before="0" w:after="283"/>
              <w:jc w:val="center"/>
              <w:rPr/>
            </w:pPr>
            <w:r>
              <w:rPr/>
              <w:t>2004</w:t>
            </w:r>
          </w:p>
        </w:tc>
      </w:tr>
      <w:tr>
        <w:trPr/>
        <w:tc>
          <w:tcPr>
            <w:tcW w:w="6119"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3686"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119" w:type="dxa"/>
            <w:tcBorders/>
            <w:shd w:fill="CCEEFF" w:val="clear"/>
            <w:vAlign w:val="bottom"/>
          </w:tcPr>
          <w:p>
            <w:pPr>
              <w:pStyle w:val="TableContents"/>
              <w:spacing w:before="0" w:after="0"/>
              <w:ind w:left="225" w:right="0" w:hanging="225"/>
              <w:rPr/>
            </w:pPr>
            <w:r>
              <w:rPr/>
              <w:t>Office furniture and equipment`</w:t>
            </w:r>
          </w:p>
        </w:tc>
        <w:tc>
          <w:tcPr>
            <w:tcW w:w="40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jc w:val="right"/>
              <w:rPr/>
            </w:pPr>
            <w:r>
              <w:rPr/>
              <w:t>$</w:t>
            </w:r>
          </w:p>
        </w:tc>
        <w:tc>
          <w:tcPr>
            <w:tcW w:w="892" w:type="dxa"/>
            <w:tcBorders/>
            <w:shd w:fill="CCEEFF" w:val="clear"/>
            <w:vAlign w:val="bottom"/>
          </w:tcPr>
          <w:p>
            <w:pPr>
              <w:pStyle w:val="TableContents"/>
              <w:spacing w:before="0" w:after="283"/>
              <w:jc w:val="right"/>
              <w:rPr/>
            </w:pPr>
            <w:r>
              <w:rPr/>
              <w:t>12,397</w:t>
            </w:r>
          </w:p>
        </w:tc>
        <w:tc>
          <w:tcPr>
            <w:tcW w:w="295"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jc w:val="right"/>
              <w:rPr/>
            </w:pPr>
            <w:r>
              <w:rPr/>
              <w:t>$</w:t>
            </w:r>
          </w:p>
        </w:tc>
        <w:tc>
          <w:tcPr>
            <w:tcW w:w="1074" w:type="dxa"/>
            <w:tcBorders/>
            <w:shd w:fill="CCEEFF" w:val="clear"/>
            <w:vAlign w:val="bottom"/>
          </w:tcPr>
          <w:p>
            <w:pPr>
              <w:pStyle w:val="TableContents"/>
              <w:spacing w:before="0" w:after="283"/>
              <w:jc w:val="right"/>
              <w:rPr/>
            </w:pPr>
            <w:r>
              <w:rPr/>
              <w:t>10,425</w:t>
            </w:r>
          </w:p>
        </w:tc>
        <w:tc>
          <w:tcPr>
            <w:tcW w:w="321" w:type="dxa"/>
            <w:tcBorders/>
            <w:shd w:fill="CCEEFF" w:val="clear"/>
            <w:vAlign w:val="bottom"/>
          </w:tcPr>
          <w:p>
            <w:pPr>
              <w:pStyle w:val="TableContents"/>
              <w:spacing w:before="0" w:after="283"/>
              <w:rPr/>
            </w:pPr>
            <w:r>
              <w:rPr/>
              <w:t> </w:t>
            </w:r>
          </w:p>
        </w:tc>
      </w:tr>
      <w:tr>
        <w:trPr/>
        <w:tc>
          <w:tcPr>
            <w:tcW w:w="6119" w:type="dxa"/>
            <w:tcBorders/>
            <w:shd w:fill="auto" w:val="clear"/>
            <w:vAlign w:val="bottom"/>
          </w:tcPr>
          <w:p>
            <w:pPr>
              <w:pStyle w:val="TableContents"/>
              <w:spacing w:before="0" w:after="0"/>
              <w:ind w:left="225" w:right="0" w:hanging="225"/>
              <w:rPr/>
            </w:pPr>
            <w:r>
              <w:rPr/>
              <w:t>Laboratory equipment</w:t>
            </w:r>
          </w:p>
        </w:tc>
        <w:tc>
          <w:tcPr>
            <w:tcW w:w="40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183,803</w:t>
            </w:r>
          </w:p>
        </w:tc>
        <w:tc>
          <w:tcPr>
            <w:tcW w:w="29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183,803</w:t>
            </w:r>
          </w:p>
        </w:tc>
        <w:tc>
          <w:tcPr>
            <w:tcW w:w="321" w:type="dxa"/>
            <w:tcBorders/>
            <w:shd w:fill="auto" w:val="clear"/>
            <w:vAlign w:val="bottom"/>
          </w:tcPr>
          <w:p>
            <w:pPr>
              <w:pStyle w:val="TableContents"/>
              <w:spacing w:before="0" w:after="283"/>
              <w:rPr/>
            </w:pPr>
            <w:r>
              <w:rPr/>
              <w:t> </w:t>
            </w:r>
          </w:p>
        </w:tc>
      </w:tr>
      <w:tr>
        <w:trPr/>
        <w:tc>
          <w:tcPr>
            <w:tcW w:w="6119"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3686"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119" w:type="dxa"/>
            <w:tcBorders/>
            <w:shd w:fill="auto" w:val="clear"/>
            <w:vAlign w:val="bottom"/>
          </w:tcPr>
          <w:p>
            <w:pPr>
              <w:pStyle w:val="TableContents"/>
              <w:spacing w:before="0" w:after="0"/>
              <w:ind w:left="225" w:right="0" w:hanging="225"/>
              <w:rPr/>
            </w:pPr>
            <w:r>
              <w:rPr/>
              <w:t> </w:t>
            </w:r>
          </w:p>
        </w:tc>
        <w:tc>
          <w:tcPr>
            <w:tcW w:w="40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r>
      <w:tr>
        <w:trPr/>
        <w:tc>
          <w:tcPr>
            <w:tcW w:w="6119" w:type="dxa"/>
            <w:tcBorders/>
            <w:shd w:fill="CCEEFF" w:val="clear"/>
            <w:vAlign w:val="bottom"/>
          </w:tcPr>
          <w:p>
            <w:pPr>
              <w:pStyle w:val="TableContents"/>
              <w:spacing w:before="0" w:after="0"/>
              <w:ind w:left="225" w:right="0" w:hanging="225"/>
              <w:rPr/>
            </w:pPr>
            <w:r>
              <w:rPr/>
              <w:t> </w:t>
            </w:r>
          </w:p>
        </w:tc>
        <w:tc>
          <w:tcPr>
            <w:tcW w:w="40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196,200</w:t>
            </w:r>
          </w:p>
        </w:tc>
        <w:tc>
          <w:tcPr>
            <w:tcW w:w="295"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194,228</w:t>
            </w:r>
          </w:p>
        </w:tc>
        <w:tc>
          <w:tcPr>
            <w:tcW w:w="321" w:type="dxa"/>
            <w:tcBorders/>
            <w:shd w:fill="CCEEFF" w:val="clear"/>
            <w:vAlign w:val="bottom"/>
          </w:tcPr>
          <w:p>
            <w:pPr>
              <w:pStyle w:val="TableContents"/>
              <w:spacing w:before="0" w:after="283"/>
              <w:rPr/>
            </w:pPr>
            <w:r>
              <w:rPr/>
              <w:t> </w:t>
            </w:r>
          </w:p>
        </w:tc>
      </w:tr>
      <w:tr>
        <w:trPr/>
        <w:tc>
          <w:tcPr>
            <w:tcW w:w="6119" w:type="dxa"/>
            <w:tcBorders/>
            <w:shd w:fill="auto" w:val="clear"/>
            <w:vAlign w:val="bottom"/>
          </w:tcPr>
          <w:p>
            <w:pPr>
              <w:pStyle w:val="TableContents"/>
              <w:spacing w:before="0" w:after="0"/>
              <w:ind w:left="225" w:right="0" w:hanging="225"/>
              <w:rPr/>
            </w:pPr>
            <w:r>
              <w:rPr/>
              <w:t>Less: accumulated depreciation</w:t>
            </w:r>
          </w:p>
        </w:tc>
        <w:tc>
          <w:tcPr>
            <w:tcW w:w="40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jc w:val="right"/>
              <w:rPr/>
            </w:pPr>
            <w:r>
              <w:rPr/>
              <w:t> </w:t>
            </w:r>
          </w:p>
        </w:tc>
        <w:tc>
          <w:tcPr>
            <w:tcW w:w="892" w:type="dxa"/>
            <w:tcBorders/>
            <w:shd w:fill="auto" w:val="clear"/>
            <w:vAlign w:val="bottom"/>
          </w:tcPr>
          <w:p>
            <w:pPr>
              <w:pStyle w:val="TableContents"/>
              <w:spacing w:before="0" w:after="283"/>
              <w:jc w:val="right"/>
              <w:rPr/>
            </w:pPr>
            <w:r>
              <w:rPr/>
              <w:t>(176,624</w:t>
            </w:r>
          </w:p>
        </w:tc>
        <w:tc>
          <w:tcPr>
            <w:tcW w:w="295" w:type="dxa"/>
            <w:tcBorders/>
            <w:shd w:fill="auto" w:val="clear"/>
            <w:vAlign w:val="bottom"/>
          </w:tcPr>
          <w:p>
            <w:pPr>
              <w:pStyle w:val="TableContents"/>
              <w:spacing w:before="0" w:after="283"/>
              <w:rPr/>
            </w:pPr>
            <w:r>
              <w:rPr/>
              <w:t>)</w:t>
            </w:r>
          </w:p>
        </w:tc>
        <w:tc>
          <w:tcPr>
            <w:tcW w:w="40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right"/>
              <w:rPr/>
            </w:pPr>
            <w:r>
              <w:rPr/>
              <w:t> </w:t>
            </w:r>
          </w:p>
        </w:tc>
        <w:tc>
          <w:tcPr>
            <w:tcW w:w="1074" w:type="dxa"/>
            <w:tcBorders/>
            <w:shd w:fill="auto" w:val="clear"/>
            <w:vAlign w:val="bottom"/>
          </w:tcPr>
          <w:p>
            <w:pPr>
              <w:pStyle w:val="TableContents"/>
              <w:spacing w:before="0" w:after="283"/>
              <w:jc w:val="right"/>
              <w:rPr/>
            </w:pPr>
            <w:r>
              <w:rPr/>
              <w:t>(158,955</w:t>
            </w:r>
          </w:p>
        </w:tc>
        <w:tc>
          <w:tcPr>
            <w:tcW w:w="321" w:type="dxa"/>
            <w:tcBorders/>
            <w:shd w:fill="auto" w:val="clear"/>
            <w:vAlign w:val="bottom"/>
          </w:tcPr>
          <w:p>
            <w:pPr>
              <w:pStyle w:val="TableContents"/>
              <w:spacing w:before="0" w:after="283"/>
              <w:rPr/>
            </w:pPr>
            <w:r>
              <w:rPr/>
              <w:t>)</w:t>
            </w:r>
          </w:p>
        </w:tc>
      </w:tr>
      <w:tr>
        <w:trPr/>
        <w:tc>
          <w:tcPr>
            <w:tcW w:w="6119"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3686"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119" w:type="dxa"/>
            <w:tcBorders/>
            <w:shd w:fill="auto" w:val="clear"/>
            <w:vAlign w:val="bottom"/>
          </w:tcPr>
          <w:p>
            <w:pPr>
              <w:pStyle w:val="TableContents"/>
              <w:spacing w:before="0" w:after="0"/>
              <w:ind w:left="225" w:right="0" w:hanging="225"/>
              <w:rPr/>
            </w:pPr>
            <w:r>
              <w:rPr/>
              <w:t> </w:t>
            </w:r>
          </w:p>
        </w:tc>
        <w:tc>
          <w:tcPr>
            <w:tcW w:w="40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r>
      <w:tr>
        <w:trPr/>
        <w:tc>
          <w:tcPr>
            <w:tcW w:w="6119" w:type="dxa"/>
            <w:tcBorders/>
            <w:shd w:fill="CCEEFF" w:val="clear"/>
            <w:vAlign w:val="bottom"/>
          </w:tcPr>
          <w:p>
            <w:pPr>
              <w:pStyle w:val="TableContents"/>
              <w:spacing w:before="0" w:after="0"/>
              <w:ind w:left="225" w:right="0" w:hanging="225"/>
              <w:rPr/>
            </w:pPr>
            <w:r>
              <w:rPr/>
              <w:t> </w:t>
            </w:r>
          </w:p>
        </w:tc>
        <w:tc>
          <w:tcPr>
            <w:tcW w:w="40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jc w:val="right"/>
              <w:rPr/>
            </w:pPr>
            <w:r>
              <w:rPr/>
              <w:t>$</w:t>
            </w:r>
          </w:p>
        </w:tc>
        <w:tc>
          <w:tcPr>
            <w:tcW w:w="892" w:type="dxa"/>
            <w:tcBorders/>
            <w:shd w:fill="CCEEFF" w:val="clear"/>
            <w:vAlign w:val="bottom"/>
          </w:tcPr>
          <w:p>
            <w:pPr>
              <w:pStyle w:val="TableContents"/>
              <w:spacing w:before="0" w:after="283"/>
              <w:jc w:val="right"/>
              <w:rPr/>
            </w:pPr>
            <w:r>
              <w:rPr/>
              <w:t>19,576</w:t>
            </w:r>
          </w:p>
        </w:tc>
        <w:tc>
          <w:tcPr>
            <w:tcW w:w="295"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jc w:val="right"/>
              <w:rPr/>
            </w:pPr>
            <w:r>
              <w:rPr/>
              <w:t>$</w:t>
            </w:r>
          </w:p>
        </w:tc>
        <w:tc>
          <w:tcPr>
            <w:tcW w:w="1074" w:type="dxa"/>
            <w:tcBorders/>
            <w:shd w:fill="CCEEFF" w:val="clear"/>
            <w:vAlign w:val="bottom"/>
          </w:tcPr>
          <w:p>
            <w:pPr>
              <w:pStyle w:val="TableContents"/>
              <w:spacing w:before="0" w:after="283"/>
              <w:jc w:val="right"/>
              <w:rPr/>
            </w:pPr>
            <w:r>
              <w:rPr/>
              <w:t>35,273</w:t>
            </w:r>
          </w:p>
        </w:tc>
        <w:tc>
          <w:tcPr>
            <w:tcW w:w="321" w:type="dxa"/>
            <w:tcBorders/>
            <w:shd w:fill="CCEEFF" w:val="clear"/>
            <w:vAlign w:val="bottom"/>
          </w:tcPr>
          <w:p>
            <w:pPr>
              <w:pStyle w:val="TableContents"/>
              <w:spacing w:before="0" w:after="283"/>
              <w:rPr/>
            </w:pPr>
            <w:r>
              <w:rPr/>
              <w:t> </w:t>
            </w:r>
          </w:p>
        </w:tc>
      </w:tr>
      <w:tr>
        <w:trPr/>
        <w:tc>
          <w:tcPr>
            <w:tcW w:w="6119"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rPr/>
            </w:pPr>
            <w:r>
              <w:rPr/>
              <w:t> </w:t>
            </w:r>
          </w:p>
        </w:tc>
        <w:tc>
          <w:tcPr>
            <w:tcW w:w="3686"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- 8 -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NOTES TO INTERIM CONSOLIDATED FINANCIAL STATEMENTS</w:t>
        <w:br/>
        <w:t>(a development stage company)</w:t>
        <w:br/>
        <w:t>JUNE 30, 2005 (Unaudited)</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5  CONVERTIBLE NOTES PAYABLE</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the quarter ended June 30, 2004 the company issued two unsecured convertible promissory notes in the principal amount of $500,000, that bear interest at 8% per annum and are due twelve months from the date of issue. The unpaid amount of principal and interest may be converted at any time at the holders option into shares of the companys common stock at a price of $0.60 per share. In addition, the holders of the notes were granted common stock purchase warrants entitling the holder to purchase an additional 416,667 shares of the companys common stock at a price of $0.66 per share for a period of 2 years and the company granted a further 125,000 common stock purchase warrants with an estimated fair value of $15,000 as a finders fee entitling the holder to purchase an additional 83,333 shares of the companys common stock at a price of $0.60 per share for a period of 2 years and 41,667 shares of the companys common stock at a price of $0.66 per share for a period of 2 years.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also incurred $74,100 of costs in connection with this financing resulting in a total of $89,100 being recorded as deferred finance fees. These costs will be expensed over the term of the convertible promissory notes or the remaining unamortized amount will be charged to stockholders equity if the notes are converted. As of June 30, 2005 $89,100 (December 31, 2004 - $48,300) of the deferred finance fees have been expensed. As at June 30, 2005 $12,645 (December 31 2004  $21,667) of accrued and unpaid interest is included in accounts payable.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fair value of the convertible promissory notes at issuance was estimated to be $450,000 based on an estimated fair value interest rate on debt with comparable risk profiles of 20% per annum. As a result, the fair value of the equity component of this instrument (comprised of the common stock purchase warrants and the debt conversion feature) was estimated to be the remaining $50,000. The equity component was attributed entirely to the common stock purchase warrants and recorded as a separate component of stockholders equity as the conversion feature did not have a beneficial intrinsic value and its fair value was otherwise determined not to be material. The company will record a further interest expense over the term of the notes of $50,000 resulting from the difference between the stated and fair value interest rates such that the carrying value of the notes will be increased to the face value of $500,000 at maturity. To January 31, 2005 a further interest expense of $4,150 was accrued resulting in a carrying value of the notes of $481,250 (December 31, 2004  $477,100).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January 31, 2005 the company amended the terms of the convertible notes payable to extend the maturity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up to a maximum of ten years dependent on the company obtaining specified listing status of the companys common stock as per the amending agreement. As at the date of this modification, the company estimated the fair value of the modified convertible promissory notes to be $435,000 based on an estimated fair value interest rate on debt with comparable risk profiles of 20%. As a result, the fair value of the equity component of this modified instrument (being the amended common stock purchase warrants) was estimated to be $46,250. The company will record a further interest expense over the amended term of the notes of $65,000 resulting from the difference between the stated and fair value interest rates such that the carrying value of the notes will be increased to the face value of $500,000 at maturity. To June 30, 2005 a further interest expense of $21,667 has been accrued resulting in a carrying value of the notes of $456,667.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6 RELATED PARTY TRANSACTIONS</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2004 the company entered into an agreement with the companys new Chief Financial Officer (CFO). Under the terms of the agreement the CFO will be paid a total of CAN$5,000 per month for twelve months ending May 21, 2005. In addition, in connection with this agreement the company granted the CFO 100,000 stock options as described in Note 7. The company has continued to engage the services of the CFO on a month to month basis at a rate of CAN $5,000 per month.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entered into a new consulting agreement with Dr. Jefferies for a term ending December 31, 2007 at an amount of CAN$10,000 per month to December 31, 2007. The company has also agreed to grant to Dr. Jefferies options to acquire up to 2,500,000 shares of the companys common stock at a price to be determined, subject to further approvals. In addition, Dr. Jefferies has agreed to settle all amounts due from the company totalling $92,200 in exchange for 452,100 shares of the companys common stock. To date, the shares have not been issued and no gain or loss will be recorded in connection with this settlement until completed. </w:t>
      </w:r>
    </w:p>
    <w:p>
      <w:pPr>
        <w:pStyle w:val="TextBody"/>
        <w:jc w:val="center"/>
        <w:rPr>
          <w:rFonts w:ascii="Times New Roman;Times;serif" w:hAnsi="Times New Roman;Times;serif"/>
          <w:sz w:val="17"/>
        </w:rPr>
      </w:pPr>
      <w:r>
        <w:rPr>
          <w:rFonts w:ascii="Times New Roman;Times;serif" w:hAnsi="Times New Roman;Times;serif"/>
          <w:sz w:val="17"/>
        </w:rPr>
        <w:t xml:space="preserve">- 9 -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NOTES TO INTERIM CONSOLIDATED FINANCIAL STATEMENTS</w:t>
        <w:br/>
        <w:t>(a development stage company)</w:t>
        <w:br/>
        <w:t>JUNE 30, 2005 (Unaudited)</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6  RELATED PARTY TRANSACTIONS (continued)</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2004 the company entered into an agreement with the companys Chief Operating Officer (COO). Under the terms of the agreement the COO will be paid a daily fee of CAN$1,000. The agreement commenced as of August 30, 2004 and will continue for one year from that date. The company also granted to the COO 300,000 stock options exercisable at $0.50 per share as described in Note 7. Under the terms of an amended agreement, the companys COO was appointed President, CEO and a director effective February 8, 2005. The company and the CEO entered into a management agreement for a term ending December 31, 2007 at an amount of CAN$170,000 for the first year and for amounts to be determined by the companys compensation committee thereafter. In addition, the CEO agreed to settle all amounts due from the company totalling $66,556 for a cash payment of $19,765 resulting in a gain on settlement of $46,791. The company has also agreed to issue to the CEO 500,000 shares of the companys common stock at an agreed price of CAN$0.15 per share and up to a further 1,400,000 options at a price to be determined all of which are subject to further approvals.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entered into a new month to month consulting agreement with the companys former President and CEO at an amount of CAN$8,333 per month. In addition, the former CEO agreed to settle all amounts due from the company totalling $93,099 for a cash payment of $27,988 resulting in a gain on settlement of $65,111. The company has also agreed to grant to the former CEO options to acquire up to 400,000 shares of the companys common stock at a price to be determined and subject to further approvals. The consulting agreement was terminated effective April 8, 2005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during 2005 the company made cash settlements on certain trade payables resulting in a further gain of $30,647.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amounts have been incurred to these related parties: </w:t>
      </w:r>
    </w:p>
    <w:tbl>
      <w:tblPr>
        <w:tblW w:w="5000" w:type="pct"/>
        <w:jc w:val="center"/>
        <w:tblInd w:w="0" w:type="dxa"/>
        <w:tblCellMar>
          <w:top w:w="0" w:type="dxa"/>
          <w:left w:w="0" w:type="dxa"/>
          <w:bottom w:w="0" w:type="dxa"/>
          <w:right w:w="0" w:type="dxa"/>
        </w:tblCellMar>
      </w:tblPr>
      <w:tblGrid>
        <w:gridCol w:w="5893"/>
        <w:gridCol w:w="380"/>
        <w:gridCol w:w="377"/>
        <w:gridCol w:w="1112"/>
        <w:gridCol w:w="272"/>
        <w:gridCol w:w="401"/>
        <w:gridCol w:w="377"/>
        <w:gridCol w:w="1112"/>
        <w:gridCol w:w="281"/>
      </w:tblGrid>
      <w:tr>
        <w:trPr/>
        <w:tc>
          <w:tcPr>
            <w:tcW w:w="589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r>
      <w:tr>
        <w:trPr/>
        <w:tc>
          <w:tcPr>
            <w:tcW w:w="589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3932" w:type="dxa"/>
            <w:gridSpan w:val="7"/>
            <w:tcBorders>
              <w:bottom w:val="single" w:sz="2" w:space="0" w:color="000000"/>
            </w:tcBorders>
            <w:shd w:fill="auto" w:val="clear"/>
            <w:tcMar>
              <w:bottom w:w="28" w:type="dxa"/>
            </w:tcMar>
            <w:vAlign w:val="bottom"/>
          </w:tcPr>
          <w:p>
            <w:pPr>
              <w:pStyle w:val="TableContents"/>
              <w:spacing w:before="0" w:after="283"/>
              <w:jc w:val="center"/>
              <w:rPr/>
            </w:pPr>
            <w:r>
              <w:rPr/>
              <w:t>For the period ended June 30,</w:t>
            </w:r>
          </w:p>
        </w:tc>
      </w:tr>
      <w:tr>
        <w:trPr/>
        <w:tc>
          <w:tcPr>
            <w:tcW w:w="589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761" w:type="dxa"/>
            <w:gridSpan w:val="3"/>
            <w:tcBorders/>
            <w:shd w:fill="auto" w:val="clear"/>
            <w:vAlign w:val="bottom"/>
          </w:tcPr>
          <w:p>
            <w:pPr>
              <w:pStyle w:val="TableContents"/>
              <w:spacing w:before="0" w:after="283"/>
              <w:jc w:val="center"/>
              <w:rPr/>
            </w:pPr>
            <w:r>
              <w:rPr/>
              <w:t>2005</w:t>
            </w:r>
          </w:p>
        </w:tc>
        <w:tc>
          <w:tcPr>
            <w:tcW w:w="401" w:type="dxa"/>
            <w:tcBorders/>
            <w:shd w:fill="auto" w:val="clear"/>
            <w:vAlign w:val="bottom"/>
          </w:tcPr>
          <w:p>
            <w:pPr>
              <w:pStyle w:val="TableContents"/>
              <w:spacing w:before="0" w:after="283"/>
              <w:rPr/>
            </w:pPr>
            <w:r>
              <w:rPr/>
              <w:t> </w:t>
            </w:r>
          </w:p>
        </w:tc>
        <w:tc>
          <w:tcPr>
            <w:tcW w:w="1770" w:type="dxa"/>
            <w:gridSpan w:val="3"/>
            <w:tcBorders/>
            <w:shd w:fill="auto" w:val="clear"/>
            <w:vAlign w:val="bottom"/>
          </w:tcPr>
          <w:p>
            <w:pPr>
              <w:pStyle w:val="TableContents"/>
              <w:spacing w:before="0" w:after="283"/>
              <w:jc w:val="center"/>
              <w:rPr/>
            </w:pPr>
            <w:r>
              <w:rPr/>
              <w:t>2004</w:t>
            </w:r>
          </w:p>
        </w:tc>
      </w:tr>
      <w:tr>
        <w:trPr/>
        <w:tc>
          <w:tcPr>
            <w:tcW w:w="5893"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93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93" w:type="dxa"/>
            <w:tcBorders/>
            <w:shd w:fill="CCEEFF" w:val="clear"/>
            <w:vAlign w:val="bottom"/>
          </w:tcPr>
          <w:p>
            <w:pPr>
              <w:pStyle w:val="TableContents"/>
              <w:spacing w:before="0" w:after="0"/>
              <w:ind w:left="225" w:right="0" w:hanging="225"/>
              <w:rPr/>
            </w:pPr>
            <w:r>
              <w:rPr/>
              <w:t>Management fees</w:t>
            </w:r>
          </w:p>
        </w:tc>
        <w:tc>
          <w:tcPr>
            <w:tcW w:w="38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jc w:val="right"/>
              <w:rPr/>
            </w:pPr>
            <w:r>
              <w:rPr/>
              <w:t>$</w:t>
            </w:r>
          </w:p>
        </w:tc>
        <w:tc>
          <w:tcPr>
            <w:tcW w:w="1112" w:type="dxa"/>
            <w:tcBorders/>
            <w:shd w:fill="CCEEFF" w:val="clear"/>
            <w:vAlign w:val="bottom"/>
          </w:tcPr>
          <w:p>
            <w:pPr>
              <w:pStyle w:val="TableContents"/>
              <w:spacing w:before="0" w:after="283"/>
              <w:jc w:val="right"/>
              <w:rPr/>
            </w:pPr>
            <w:r>
              <w:rPr/>
              <w:t>77,387</w:t>
            </w:r>
          </w:p>
        </w:tc>
        <w:tc>
          <w:tcPr>
            <w:tcW w:w="272"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jc w:val="right"/>
              <w:rPr/>
            </w:pPr>
            <w:r>
              <w:rPr/>
              <w:t>$</w:t>
            </w:r>
          </w:p>
        </w:tc>
        <w:tc>
          <w:tcPr>
            <w:tcW w:w="1112" w:type="dxa"/>
            <w:tcBorders/>
            <w:shd w:fill="CCEEFF" w:val="clear"/>
            <w:vAlign w:val="bottom"/>
          </w:tcPr>
          <w:p>
            <w:pPr>
              <w:pStyle w:val="TableContents"/>
              <w:spacing w:before="0" w:after="283"/>
              <w:jc w:val="right"/>
              <w:rPr/>
            </w:pPr>
            <w:r>
              <w:rPr/>
              <w:t>96,941</w:t>
            </w:r>
          </w:p>
        </w:tc>
        <w:tc>
          <w:tcPr>
            <w:tcW w:w="281" w:type="dxa"/>
            <w:tcBorders/>
            <w:shd w:fill="CCEEFF" w:val="clear"/>
            <w:vAlign w:val="bottom"/>
          </w:tcPr>
          <w:p>
            <w:pPr>
              <w:pStyle w:val="TableContents"/>
              <w:spacing w:before="0" w:after="283"/>
              <w:rPr/>
            </w:pPr>
            <w:r>
              <w:rPr/>
              <w:t> </w:t>
            </w:r>
          </w:p>
        </w:tc>
      </w:tr>
      <w:tr>
        <w:trPr/>
        <w:tc>
          <w:tcPr>
            <w:tcW w:w="5893" w:type="dxa"/>
            <w:tcBorders/>
            <w:shd w:fill="auto" w:val="clear"/>
            <w:vAlign w:val="bottom"/>
          </w:tcPr>
          <w:p>
            <w:pPr>
              <w:pStyle w:val="TableContents"/>
              <w:spacing w:before="0" w:after="0"/>
              <w:ind w:left="225" w:right="0" w:hanging="225"/>
              <w:rPr/>
            </w:pPr>
            <w:r>
              <w:rPr/>
              <w:t>Research and development</w:t>
            </w:r>
          </w:p>
        </w:tc>
        <w:tc>
          <w:tcPr>
            <w:tcW w:w="38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38,390</w:t>
            </w:r>
          </w:p>
        </w:tc>
        <w:tc>
          <w:tcPr>
            <w:tcW w:w="272"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67,966</w:t>
            </w:r>
          </w:p>
        </w:tc>
        <w:tc>
          <w:tcPr>
            <w:tcW w:w="281" w:type="dxa"/>
            <w:tcBorders/>
            <w:shd w:fill="auto" w:val="clear"/>
            <w:vAlign w:val="bottom"/>
          </w:tcPr>
          <w:p>
            <w:pPr>
              <w:pStyle w:val="TableContents"/>
              <w:spacing w:before="0" w:after="283"/>
              <w:rPr/>
            </w:pPr>
            <w:r>
              <w:rPr/>
              <w:t> </w:t>
            </w:r>
          </w:p>
        </w:tc>
      </w:tr>
      <w:tr>
        <w:trPr/>
        <w:tc>
          <w:tcPr>
            <w:tcW w:w="5893"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93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93" w:type="dxa"/>
            <w:tcBorders/>
            <w:shd w:fill="CCEEFF" w:val="clear"/>
            <w:vAlign w:val="bottom"/>
          </w:tcPr>
          <w:p>
            <w:pPr>
              <w:pStyle w:val="TableContents"/>
              <w:spacing w:before="0" w:after="0"/>
              <w:ind w:left="225" w:right="0" w:hanging="225"/>
              <w:rPr/>
            </w:pPr>
            <w:r>
              <w:rPr/>
              <w:t> </w:t>
            </w:r>
          </w:p>
        </w:tc>
        <w:tc>
          <w:tcPr>
            <w:tcW w:w="38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jc w:val="right"/>
              <w:rPr/>
            </w:pPr>
            <w:r>
              <w:rPr/>
              <w:t>$</w:t>
            </w:r>
          </w:p>
        </w:tc>
        <w:tc>
          <w:tcPr>
            <w:tcW w:w="1112" w:type="dxa"/>
            <w:tcBorders/>
            <w:shd w:fill="CCEEFF" w:val="clear"/>
            <w:vAlign w:val="bottom"/>
          </w:tcPr>
          <w:p>
            <w:pPr>
              <w:pStyle w:val="TableContents"/>
              <w:spacing w:before="0" w:after="283"/>
              <w:jc w:val="right"/>
              <w:rPr/>
            </w:pPr>
            <w:r>
              <w:rPr/>
              <w:t>115,777</w:t>
            </w:r>
          </w:p>
        </w:tc>
        <w:tc>
          <w:tcPr>
            <w:tcW w:w="272"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jc w:val="right"/>
              <w:rPr/>
            </w:pPr>
            <w:r>
              <w:rPr/>
              <w:t>$</w:t>
            </w:r>
          </w:p>
        </w:tc>
        <w:tc>
          <w:tcPr>
            <w:tcW w:w="1112" w:type="dxa"/>
            <w:tcBorders/>
            <w:shd w:fill="CCEEFF" w:val="clear"/>
            <w:vAlign w:val="bottom"/>
          </w:tcPr>
          <w:p>
            <w:pPr>
              <w:pStyle w:val="TableContents"/>
              <w:spacing w:before="0" w:after="283"/>
              <w:jc w:val="right"/>
              <w:rPr/>
            </w:pPr>
            <w:r>
              <w:rPr/>
              <w:t>164,907</w:t>
            </w:r>
          </w:p>
        </w:tc>
        <w:tc>
          <w:tcPr>
            <w:tcW w:w="281" w:type="dxa"/>
            <w:tcBorders/>
            <w:shd w:fill="CCEEFF" w:val="clear"/>
            <w:vAlign w:val="bottom"/>
          </w:tcPr>
          <w:p>
            <w:pPr>
              <w:pStyle w:val="TableContents"/>
              <w:spacing w:before="0" w:after="283"/>
              <w:rPr/>
            </w:pPr>
            <w:r>
              <w:rPr/>
              <w:t> </w:t>
            </w:r>
          </w:p>
        </w:tc>
      </w:tr>
      <w:tr>
        <w:trPr/>
        <w:tc>
          <w:tcPr>
            <w:tcW w:w="5893"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932"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at June 30, 2005 the company has total commitments remaining relating to the above management and consulting agreements for the periods ended December 31, 2005, 2006 and 2007 of approximately $116,560, $113,119 and $113,119 respectively.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the period GPI and the company incurred $115,777 in fees and $3,862 in expense reimbursements to these and former related parties and made repayments of $134,891. During the period $111,902 of amounts owing to these related parties and a former related party were written off in connection with the settlements described above leaving $196,183 owing to related parties as at June 30, 2005 (December 31, 2004,  $323,337). Amounts due to related parties are unsecured, non-interest bearing and have no specific terms of repayment.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Refer to Note 3.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7  CAPITAL STOCK</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2005 the company completed a private placement financing of 9,068,301 units at a price of $0.15 per unit for gross proceeds of $1,360,245. Each unit is comprised of one common share and one-half of a common share purchase warrant. Each whole common share purchase warrant entitles the holder to acquire an additional common share of the company for a period of two years at a price of $0.15 before the earlier of four months from the issue date of the warrant and the date the company completes an additional financing of not less than $2,000,000, $0.30 for the balance of the first year and thereafter at $0.50. The company paid finders fees in connection with certain of the proceeds placed comprised of 8% of the cash placed and finders warrants for 5% of the units placed. The company paid a total of $97,620 in cash finders fees, $100,561 in legal and other issue costs and issued a total of 406,748 finders warrants. The total fair value of the unit warrants and finders warrants was estimated to be $116,206 and was recorded as separate component of stockholders equity. </w:t>
      </w:r>
    </w:p>
    <w:p>
      <w:pPr>
        <w:pStyle w:val="TextBody"/>
        <w:jc w:val="center"/>
        <w:rPr>
          <w:rFonts w:ascii="Times New Roman;Times;serif" w:hAnsi="Times New Roman;Times;serif"/>
          <w:sz w:val="17"/>
        </w:rPr>
      </w:pPr>
      <w:r>
        <w:rPr>
          <w:rFonts w:ascii="Times New Roman;Times;serif" w:hAnsi="Times New Roman;Times;serif"/>
          <w:sz w:val="17"/>
        </w:rPr>
        <w:t xml:space="preserve">- 10 -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NOTES TO INTERIM CONSOLIDATED FINANCIAL STATEMENTS</w:t>
        <w:br/>
        <w:t>(a development stage company)</w:t>
        <w:br/>
        <w:t>JUNE 30, 2005 (Unaudited)</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7  CAPITAL STOCK (continued)</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2004 the company issued 52,900 shares of common stock on the exercise of stock options at $1.00 per share the consideration for which was the settlement of accounts payable owing to the option holder totaling $52,900 and issued a further 10,000 shares of common stock on settlement of accounts payable of $10,000.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2004 the company issued 304,370 shares of common stock on the exercise of stock options at $0.50 per share for proceeds of $152,185 which was paid by way of offset of amounts originally owing by the company to certain consultants of the company which were assigned by these consultants to certain options holders. These amounts were originally owing by the company as a result of cash advances made to the company totaling $50,000 and expenses incurred on behalf of the company totalling $102,185.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2004 the company commenced a private placement of units at $0.70 per unit. Each unit consists of one common share and one share purchase warrant. Each share purchase warrant entitles the holder to purchase an additional common share of the company at a price of $0.70 per share for a period of two years. The company issued 857,143 shares of common stock on the purchase of 857,143 units for total proceeds of $600,000. The company issued 71,428 shares of common stock as a placement fee and paid a further $50,000 in connection with this financing. The fair value of the warrants was estimated to be $60,000 and was recorded as separate component of stockholders equity.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Stock Option Plan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September 30, 2002 the Board of Directors of the company approved the adoption of a new stock option plan (the Plan) allowing for the granting of up to 3,500,000 options to directors, officers, employees and consultants of the company and its subsidiaries. Options granted under the Plan shall be at prices and for terms as determined by the Board of Directors with terms not to exceed 10 years. The Plan further provides that the Board of Directors may grant to any key personnel of the company who is eligible to receive options, one or more Incentive Stock Options at a price not less than fair market value and for a period not to exceed 10 years from the date of grant. Options and Incentive Stock Options granted under the Plan may have vesting requirements as determined by the Board of Directors.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April 16, 2003 the Board of Directors approved an increase in the number of options available under the Plan from 3,500,000 to 4,500,000. Also effective July 9, 2003 the company filed a Form S-8 Registration Statement to register 500,000 shares in connection with the Plan. Effective December 16, 2003, the Board of Directors approved the further increase in the number of options available under the Plan from 4,500,000 to 10,000,000, and during 2004 filed a Form S-8 Registration Statement effective January 26, 2004 to register a further 2,250,000 shares in connection with the Plan.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Stock Options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accounts for stock-based employee compensation arrangements in accordance with the provisions of APB No. 25 and complies with the disclosure provisions of SFAS No. 123 and SFAS No. 148. In accordance with SFAS No. 123 the company applies the fair value method using the Black-Scholes option-pricing model in connection with accounting for options granted to consultants and the disclosure provision relating to options granted to employees.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reverse acquisition of GPI, the company granted a total of 2,135,000 stock options to previous holders of stock options of GPI with terms and conditions consistent with their original GPI stock options. Of these stock options, 150,000 are subject to straight line vesting for a period of 36 months commencing October 1, 2002. The fair value of these incentive stock options will be recorded as compensation expense over the vesting period. The fair value of these options at the date of grant of $142,500 was estimated using the Black-Scholes option pricing model with an expected life of three years, a risk-free interest rate of 4% and an expected volatility of 226%. To December 31, 2004 a total of $106,875 had been recorded as consulting fees in connection with these options which expired unexercised during 2004.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the stock options granted to date, a total of 160,000 originally granted at prices ranging from $1.90 per share to $8.50 per share have been repriced to $1.00 per share and as a result, are subject to variable accounting in accordance with the provisions of the FIN 44. No adjustment was required during 2005 or 2004 relating the variable accounting for these incentive stock options. </w:t>
      </w:r>
    </w:p>
    <w:p>
      <w:pPr>
        <w:pStyle w:val="TextBody"/>
        <w:jc w:val="center"/>
        <w:rPr>
          <w:rFonts w:ascii="Times New Roman;Times;serif" w:hAnsi="Times New Roman;Times;serif"/>
          <w:sz w:val="17"/>
        </w:rPr>
      </w:pPr>
      <w:r>
        <w:rPr>
          <w:rFonts w:ascii="Times New Roman;Times;serif" w:hAnsi="Times New Roman;Times;serif"/>
          <w:sz w:val="17"/>
        </w:rPr>
        <w:t xml:space="preserve">- 11 -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NOTES TO INTERIM CONSOLIDATED FINANCIAL STATEMENTS</w:t>
        <w:br/>
        <w:t>(a development stage company)</w:t>
        <w:br/>
        <w:t>JUNE 30, 2005 (Unaudited)</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7  CAPITAL STOCK (continued)</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2004 the company granted 100,000 stock options to the companys new CFO at a price of $0.70 per share with 50% subject to immediate vesting and the remaining 50% vesting over time or subject to achieving certain financing milestones. These options were granted at a price less than the market price at the date of grant and, in accordance with APB 25, this intrinsic value of $5,000 will be expensed upon vesting of the options of which the entire amount has been expensed as at December 31, 2004. The additional fair value of these options at the date of grant of $67,000 was estimated using the Black-Scholes option pricing model with an expected life of five years, a risk-free interest rate of 3% and an expected volatility of 182%. This additional fair value was previously disclosed on a pro-forma basis upon vesting of the options.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2004 the company granted 550,000 stock options to an officer and directors of the company and 25,000 stock options to a consultant at a price of $0.50 per share for a period of five years subject to immediate vesting. The fair value of the consultant options of $21,000 was expensed during 2004 and the fair value of the officer and director options of $241,000 was disclosed in Note 2 on a pro-forma basis upon the granting of the options. The fair value of these options at the date of grant totalling $262,000 was estimated using the Black-Scholes option pricing model with an expected life of five years, a risk-free interest rate of 3% and an expected volatility of 185%.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companys stock option activity is as follows: </w:t>
      </w:r>
    </w:p>
    <w:tbl>
      <w:tblPr>
        <w:tblW w:w="5000" w:type="pct"/>
        <w:jc w:val="center"/>
        <w:tblInd w:w="0" w:type="dxa"/>
        <w:tblCellMar>
          <w:top w:w="0" w:type="dxa"/>
          <w:left w:w="0" w:type="dxa"/>
          <w:bottom w:w="0" w:type="dxa"/>
          <w:right w:w="0" w:type="dxa"/>
        </w:tblCellMar>
      </w:tblPr>
      <w:tblGrid>
        <w:gridCol w:w="3736"/>
        <w:gridCol w:w="295"/>
        <w:gridCol w:w="200"/>
        <w:gridCol w:w="994"/>
        <w:gridCol w:w="234"/>
        <w:gridCol w:w="295"/>
        <w:gridCol w:w="523"/>
        <w:gridCol w:w="1245"/>
        <w:gridCol w:w="307"/>
        <w:gridCol w:w="295"/>
        <w:gridCol w:w="723"/>
        <w:gridCol w:w="627"/>
        <w:gridCol w:w="731"/>
      </w:tblGrid>
      <w:tr>
        <w:trPr/>
        <w:tc>
          <w:tcPr>
            <w:tcW w:w="373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spacing w:before="0" w:after="283"/>
              <w:jc w:val="center"/>
              <w:rPr/>
            </w:pPr>
            <w:r>
              <w:rPr/>
              <w:t>Number of</w:t>
            </w:r>
          </w:p>
        </w:tc>
        <w:tc>
          <w:tcPr>
            <w:tcW w:w="295" w:type="dxa"/>
            <w:tcBorders/>
            <w:shd w:fill="auto" w:val="clear"/>
            <w:vAlign w:val="bottom"/>
          </w:tcPr>
          <w:p>
            <w:pPr>
              <w:pStyle w:val="TableContents"/>
              <w:spacing w:before="0" w:after="283"/>
              <w:rPr/>
            </w:pPr>
            <w:r>
              <w:rPr/>
              <w:t> </w:t>
            </w:r>
          </w:p>
        </w:tc>
        <w:tc>
          <w:tcPr>
            <w:tcW w:w="2075" w:type="dxa"/>
            <w:gridSpan w:val="3"/>
            <w:tcBorders/>
            <w:shd w:fill="auto" w:val="clear"/>
            <w:vAlign w:val="bottom"/>
          </w:tcPr>
          <w:p>
            <w:pPr>
              <w:pStyle w:val="TableContents"/>
              <w:spacing w:before="0" w:after="283"/>
              <w:jc w:val="center"/>
              <w:rPr/>
            </w:pPr>
            <w:r>
              <w:rPr/>
              <w:t>Weighted Average</w:t>
            </w:r>
          </w:p>
        </w:tc>
        <w:tc>
          <w:tcPr>
            <w:tcW w:w="295" w:type="dxa"/>
            <w:tcBorders/>
            <w:shd w:fill="auto" w:val="clear"/>
            <w:vAlign w:val="bottom"/>
          </w:tcPr>
          <w:p>
            <w:pPr>
              <w:pStyle w:val="TableContents"/>
              <w:spacing w:before="0" w:after="283"/>
              <w:rPr/>
            </w:pPr>
            <w:r>
              <w:rPr/>
              <w:t> </w:t>
            </w:r>
          </w:p>
        </w:tc>
        <w:tc>
          <w:tcPr>
            <w:tcW w:w="2081" w:type="dxa"/>
            <w:gridSpan w:val="3"/>
            <w:tcBorders/>
            <w:shd w:fill="auto" w:val="clear"/>
            <w:vAlign w:val="bottom"/>
          </w:tcPr>
          <w:p>
            <w:pPr>
              <w:pStyle w:val="TableContents"/>
              <w:spacing w:before="0" w:after="283"/>
              <w:jc w:val="center"/>
              <w:rPr/>
            </w:pPr>
            <w:r>
              <w:rPr/>
              <w:t>Weighted Average</w:t>
            </w:r>
          </w:p>
        </w:tc>
      </w:tr>
      <w:tr>
        <w:trPr/>
        <w:tc>
          <w:tcPr>
            <w:tcW w:w="373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spacing w:before="0" w:after="283"/>
              <w:jc w:val="center"/>
              <w:rPr/>
            </w:pPr>
            <w:r>
              <w:rPr/>
              <w:t>options</w:t>
            </w:r>
          </w:p>
        </w:tc>
        <w:tc>
          <w:tcPr>
            <w:tcW w:w="295" w:type="dxa"/>
            <w:tcBorders/>
            <w:shd w:fill="auto" w:val="clear"/>
            <w:vAlign w:val="bottom"/>
          </w:tcPr>
          <w:p>
            <w:pPr>
              <w:pStyle w:val="TableContents"/>
              <w:spacing w:before="0" w:after="283"/>
              <w:rPr/>
            </w:pPr>
            <w:r>
              <w:rPr/>
              <w:t> </w:t>
            </w:r>
          </w:p>
        </w:tc>
        <w:tc>
          <w:tcPr>
            <w:tcW w:w="2075" w:type="dxa"/>
            <w:gridSpan w:val="3"/>
            <w:tcBorders/>
            <w:shd w:fill="auto" w:val="clear"/>
            <w:vAlign w:val="bottom"/>
          </w:tcPr>
          <w:p>
            <w:pPr>
              <w:pStyle w:val="TableContents"/>
              <w:spacing w:before="0" w:after="283"/>
              <w:jc w:val="center"/>
              <w:rPr/>
            </w:pPr>
            <w:r>
              <w:rPr/>
              <w:t>Exercise Price</w:t>
            </w:r>
          </w:p>
        </w:tc>
        <w:tc>
          <w:tcPr>
            <w:tcW w:w="295" w:type="dxa"/>
            <w:tcBorders/>
            <w:shd w:fill="auto" w:val="clear"/>
            <w:vAlign w:val="bottom"/>
          </w:tcPr>
          <w:p>
            <w:pPr>
              <w:pStyle w:val="TableContents"/>
              <w:spacing w:before="0" w:after="283"/>
              <w:rPr/>
            </w:pPr>
            <w:r>
              <w:rPr/>
              <w:t> </w:t>
            </w:r>
          </w:p>
        </w:tc>
        <w:tc>
          <w:tcPr>
            <w:tcW w:w="2081" w:type="dxa"/>
            <w:gridSpan w:val="3"/>
            <w:tcBorders/>
            <w:shd w:fill="auto" w:val="clear"/>
            <w:vAlign w:val="bottom"/>
          </w:tcPr>
          <w:p>
            <w:pPr>
              <w:pStyle w:val="TableContents"/>
              <w:spacing w:before="0" w:after="283"/>
              <w:jc w:val="center"/>
              <w:rPr/>
            </w:pPr>
            <w:r>
              <w:rPr/>
              <w:t>Remaining Life</w:t>
            </w:r>
          </w:p>
        </w:tc>
      </w:tr>
      <w:tr>
        <w:trPr/>
        <w:tc>
          <w:tcPr>
            <w:tcW w:w="3736"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17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36" w:type="dxa"/>
            <w:tcBorders/>
            <w:shd w:fill="CCEEFF" w:val="clear"/>
            <w:vAlign w:val="bottom"/>
          </w:tcPr>
          <w:p>
            <w:pPr>
              <w:pStyle w:val="TableContents"/>
              <w:spacing w:before="0" w:after="0"/>
              <w:ind w:left="225" w:right="0" w:hanging="225"/>
              <w:rPr/>
            </w:pPr>
            <w:r>
              <w:rPr/>
              <w:t>Balance, December 31, 2003</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4,754,370</w:t>
            </w:r>
          </w:p>
        </w:tc>
        <w:tc>
          <w:tcPr>
            <w:tcW w:w="23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1245" w:type="dxa"/>
            <w:tcBorders/>
            <w:shd w:fill="CCEEFF" w:val="clear"/>
            <w:vAlign w:val="bottom"/>
          </w:tcPr>
          <w:p>
            <w:pPr>
              <w:pStyle w:val="TableContents"/>
              <w:spacing w:before="0" w:after="283"/>
              <w:jc w:val="right"/>
              <w:rPr/>
            </w:pPr>
            <w:r>
              <w:rPr/>
              <w:t>0.74</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81" w:type="dxa"/>
            <w:gridSpan w:val="3"/>
            <w:tcBorders/>
            <w:shd w:fill="CCEEFF" w:val="clear"/>
            <w:vAlign w:val="bottom"/>
          </w:tcPr>
          <w:p>
            <w:pPr>
              <w:pStyle w:val="TableContents"/>
              <w:spacing w:before="0" w:after="283"/>
              <w:jc w:val="center"/>
              <w:rPr/>
            </w:pPr>
            <w:r>
              <w:rPr/>
              <w:t>5.55 years</w:t>
            </w:r>
          </w:p>
        </w:tc>
      </w:tr>
      <w:tr>
        <w:trPr/>
        <w:tc>
          <w:tcPr>
            <w:tcW w:w="3736" w:type="dxa"/>
            <w:tcBorders/>
            <w:shd w:fill="auto" w:val="clear"/>
            <w:vAlign w:val="bottom"/>
          </w:tcPr>
          <w:p>
            <w:pPr>
              <w:pStyle w:val="TableContents"/>
              <w:spacing w:before="0" w:after="0"/>
              <w:ind w:left="225" w:right="0" w:hanging="225"/>
              <w:rPr/>
            </w:pPr>
            <w:r>
              <w:rPr/>
              <w:t>Granted during the period</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675,000</w:t>
            </w:r>
          </w:p>
        </w:tc>
        <w:tc>
          <w:tcPr>
            <w:tcW w:w="23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0.53</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CCEEFF" w:val="clear"/>
            <w:vAlign w:val="bottom"/>
          </w:tcPr>
          <w:p>
            <w:pPr>
              <w:pStyle w:val="TableContents"/>
              <w:spacing w:before="0" w:after="0"/>
              <w:ind w:left="225" w:right="0" w:hanging="225"/>
              <w:rPr/>
            </w:pPr>
            <w:r>
              <w:rPr/>
              <w:t>Forfeited during the period</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pPr>
            <w:r>
              <w:rPr/>
              <w:t> </w:t>
            </w:r>
          </w:p>
        </w:tc>
        <w:tc>
          <w:tcPr>
            <w:tcW w:w="994" w:type="dxa"/>
            <w:tcBorders/>
            <w:shd w:fill="CCEEFF" w:val="clear"/>
            <w:vAlign w:val="bottom"/>
          </w:tcPr>
          <w:p>
            <w:pPr>
              <w:pStyle w:val="TableContents"/>
              <w:spacing w:before="0" w:after="283"/>
              <w:jc w:val="right"/>
              <w:rPr/>
            </w:pPr>
            <w:r>
              <w:rPr/>
              <w:t>(295,000</w:t>
            </w:r>
          </w:p>
        </w:tc>
        <w:tc>
          <w:tcPr>
            <w:tcW w:w="234" w:type="dxa"/>
            <w:tcBorders/>
            <w:shd w:fill="CCEEFF" w:val="clear"/>
            <w:vAlign w:val="bottom"/>
          </w:tcPr>
          <w:p>
            <w:pPr>
              <w:pStyle w:val="TableContents"/>
              <w:spacing w:before="0" w:after="283"/>
              <w:rPr/>
            </w:pPr>
            <w:r>
              <w:rPr/>
              <w:t>)</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0.96</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r>
      <w:tr>
        <w:trPr/>
        <w:tc>
          <w:tcPr>
            <w:tcW w:w="3736" w:type="dxa"/>
            <w:tcBorders/>
            <w:shd w:fill="auto" w:val="clear"/>
            <w:vAlign w:val="bottom"/>
          </w:tcPr>
          <w:p>
            <w:pPr>
              <w:pStyle w:val="TableContents"/>
              <w:spacing w:before="0" w:after="0"/>
              <w:ind w:left="225" w:right="0" w:hanging="225"/>
              <w:rPr/>
            </w:pPr>
            <w:r>
              <w:rPr/>
              <w:t>Exercised during the period</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pPr>
            <w:r>
              <w:rPr/>
              <w:t> </w:t>
            </w:r>
          </w:p>
        </w:tc>
        <w:tc>
          <w:tcPr>
            <w:tcW w:w="994" w:type="dxa"/>
            <w:tcBorders/>
            <w:shd w:fill="auto" w:val="clear"/>
            <w:vAlign w:val="bottom"/>
          </w:tcPr>
          <w:p>
            <w:pPr>
              <w:pStyle w:val="TableContents"/>
              <w:spacing w:before="0" w:after="283"/>
              <w:jc w:val="right"/>
              <w:rPr/>
            </w:pPr>
            <w:r>
              <w:rPr/>
              <w:t>(357,270</w:t>
            </w:r>
          </w:p>
        </w:tc>
        <w:tc>
          <w:tcPr>
            <w:tcW w:w="234" w:type="dxa"/>
            <w:tcBorders/>
            <w:shd w:fill="auto" w:val="clear"/>
            <w:vAlign w:val="bottom"/>
          </w:tcPr>
          <w:p>
            <w:pPr>
              <w:pStyle w:val="TableContents"/>
              <w:spacing w:before="0" w:after="283"/>
              <w:rPr/>
            </w:pPr>
            <w:r>
              <w:rPr/>
              <w:t>)</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0.57</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17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36" w:type="dxa"/>
            <w:tcBorders/>
            <w:shd w:fill="auto" w:val="clear"/>
            <w:vAlign w:val="center"/>
          </w:tcPr>
          <w:p>
            <w:pPr>
              <w:pStyle w:val="TableContents"/>
              <w:spacing w:before="0" w:after="283"/>
              <w:rPr/>
            </w:pPr>
            <w:r>
              <w:rPr/>
              <w:t> </w:t>
            </w:r>
          </w:p>
        </w:tc>
        <w:tc>
          <w:tcPr>
            <w:tcW w:w="6469" w:type="dxa"/>
            <w:gridSpan w:val="12"/>
            <w:tcBorders/>
            <w:shd w:fill="auto" w:val="clear"/>
          </w:tcPr>
          <w:p>
            <w:pPr>
              <w:pStyle w:val="TableContents"/>
              <w:spacing w:before="0" w:after="283"/>
              <w:rPr>
                <w:sz w:val="4"/>
                <w:szCs w:val="4"/>
              </w:rPr>
            </w:pPr>
            <w:r>
              <w:rPr>
                <w:sz w:val="4"/>
                <w:szCs w:val="4"/>
              </w:rPr>
            </w:r>
          </w:p>
        </w:tc>
      </w:tr>
      <w:tr>
        <w:trPr/>
        <w:tc>
          <w:tcPr>
            <w:tcW w:w="3736" w:type="dxa"/>
            <w:tcBorders/>
            <w:shd w:fill="CCEEFF" w:val="clear"/>
            <w:vAlign w:val="bottom"/>
          </w:tcPr>
          <w:p>
            <w:pPr>
              <w:pStyle w:val="TableContents"/>
              <w:spacing w:before="0" w:after="0"/>
              <w:ind w:left="225" w:right="0" w:hanging="225"/>
              <w:rPr/>
            </w:pPr>
            <w:r>
              <w:rPr/>
              <w:t>Balance, December 31, 2004</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4,777,100</w:t>
            </w:r>
          </w:p>
        </w:tc>
        <w:tc>
          <w:tcPr>
            <w:tcW w:w="23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0.71</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81" w:type="dxa"/>
            <w:gridSpan w:val="3"/>
            <w:tcBorders/>
            <w:shd w:fill="CCEEFF" w:val="clear"/>
            <w:vAlign w:val="bottom"/>
          </w:tcPr>
          <w:p>
            <w:pPr>
              <w:pStyle w:val="TableContents"/>
              <w:spacing w:before="0" w:after="283"/>
              <w:jc w:val="center"/>
              <w:rPr/>
            </w:pPr>
            <w:r>
              <w:rPr/>
              <w:t>4.59 years</w:t>
            </w:r>
          </w:p>
        </w:tc>
      </w:tr>
      <w:tr>
        <w:trPr/>
        <w:tc>
          <w:tcPr>
            <w:tcW w:w="3736" w:type="dxa"/>
            <w:tcBorders/>
            <w:shd w:fill="auto" w:val="clear"/>
            <w:vAlign w:val="bottom"/>
          </w:tcPr>
          <w:p>
            <w:pPr>
              <w:pStyle w:val="TableContents"/>
              <w:spacing w:before="0" w:after="0"/>
              <w:ind w:left="225" w:right="0" w:hanging="225"/>
              <w:rPr/>
            </w:pPr>
            <w:r>
              <w:rPr/>
              <w:t>Granted during the period</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w:t>
            </w:r>
          </w:p>
        </w:tc>
        <w:tc>
          <w:tcPr>
            <w:tcW w:w="23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CCEEFF" w:val="clear"/>
            <w:vAlign w:val="bottom"/>
          </w:tcPr>
          <w:p>
            <w:pPr>
              <w:pStyle w:val="TableContents"/>
              <w:spacing w:before="0" w:after="0"/>
              <w:ind w:left="225" w:right="0" w:hanging="225"/>
              <w:rPr/>
            </w:pPr>
            <w:r>
              <w:rPr/>
              <w:t>Forfeited during the period</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pPr>
            <w:r>
              <w:rPr/>
              <w:t> </w:t>
            </w:r>
          </w:p>
        </w:tc>
        <w:tc>
          <w:tcPr>
            <w:tcW w:w="994" w:type="dxa"/>
            <w:tcBorders/>
            <w:shd w:fill="CCEEFF" w:val="clear"/>
            <w:vAlign w:val="bottom"/>
          </w:tcPr>
          <w:p>
            <w:pPr>
              <w:pStyle w:val="TableContents"/>
              <w:spacing w:before="0" w:after="283"/>
              <w:jc w:val="right"/>
              <w:rPr/>
            </w:pPr>
            <w:r>
              <w:rPr/>
              <w:t>(97,100</w:t>
            </w:r>
          </w:p>
        </w:tc>
        <w:tc>
          <w:tcPr>
            <w:tcW w:w="234" w:type="dxa"/>
            <w:tcBorders/>
            <w:shd w:fill="CCEEFF" w:val="clear"/>
            <w:vAlign w:val="bottom"/>
          </w:tcPr>
          <w:p>
            <w:pPr>
              <w:pStyle w:val="TableContents"/>
              <w:spacing w:before="0" w:after="283"/>
              <w:rPr/>
            </w:pPr>
            <w:r>
              <w:rPr/>
              <w:t>)</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1.00</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r>
      <w:tr>
        <w:trPr/>
        <w:tc>
          <w:tcPr>
            <w:tcW w:w="3736" w:type="dxa"/>
            <w:tcBorders/>
            <w:shd w:fill="auto" w:val="clear"/>
            <w:vAlign w:val="bottom"/>
          </w:tcPr>
          <w:p>
            <w:pPr>
              <w:pStyle w:val="TableContents"/>
              <w:spacing w:before="0" w:after="0"/>
              <w:ind w:left="225" w:right="0" w:hanging="225"/>
              <w:rPr/>
            </w:pPr>
            <w:r>
              <w:rPr/>
              <w:t>Exercised during the period</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w:t>
            </w:r>
          </w:p>
        </w:tc>
        <w:tc>
          <w:tcPr>
            <w:tcW w:w="23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17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36" w:type="dxa"/>
            <w:tcBorders/>
            <w:shd w:fill="auto" w:val="clear"/>
            <w:vAlign w:val="center"/>
          </w:tcPr>
          <w:p>
            <w:pPr>
              <w:pStyle w:val="TableContents"/>
              <w:spacing w:before="0" w:after="283"/>
              <w:rPr/>
            </w:pPr>
            <w:r>
              <w:rPr/>
              <w:t> </w:t>
            </w:r>
          </w:p>
        </w:tc>
        <w:tc>
          <w:tcPr>
            <w:tcW w:w="6469" w:type="dxa"/>
            <w:gridSpan w:val="12"/>
            <w:tcBorders/>
            <w:shd w:fill="auto" w:val="clear"/>
          </w:tcPr>
          <w:p>
            <w:pPr>
              <w:pStyle w:val="TableContents"/>
              <w:spacing w:before="0" w:after="283"/>
              <w:rPr>
                <w:sz w:val="4"/>
                <w:szCs w:val="4"/>
              </w:rPr>
            </w:pPr>
            <w:r>
              <w:rPr>
                <w:sz w:val="4"/>
                <w:szCs w:val="4"/>
              </w:rPr>
            </w:r>
          </w:p>
        </w:tc>
      </w:tr>
      <w:tr>
        <w:trPr/>
        <w:tc>
          <w:tcPr>
            <w:tcW w:w="3736" w:type="dxa"/>
            <w:tcBorders/>
            <w:shd w:fill="CCEEFF" w:val="clear"/>
            <w:vAlign w:val="bottom"/>
          </w:tcPr>
          <w:p>
            <w:pPr>
              <w:pStyle w:val="TableContents"/>
              <w:spacing w:before="0" w:after="0"/>
              <w:ind w:left="225" w:right="0" w:hanging="225"/>
              <w:rPr/>
            </w:pPr>
            <w:r>
              <w:rPr/>
              <w:t>Balance, June 30, 2005</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4,680,000</w:t>
            </w:r>
          </w:p>
        </w:tc>
        <w:tc>
          <w:tcPr>
            <w:tcW w:w="23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1245" w:type="dxa"/>
            <w:tcBorders/>
            <w:shd w:fill="CCEEFF" w:val="clear"/>
            <w:vAlign w:val="bottom"/>
          </w:tcPr>
          <w:p>
            <w:pPr>
              <w:pStyle w:val="TableContents"/>
              <w:spacing w:before="0" w:after="283"/>
              <w:jc w:val="right"/>
              <w:rPr/>
            </w:pPr>
            <w:r>
              <w:rPr/>
              <w:t>0.71</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81" w:type="dxa"/>
            <w:gridSpan w:val="3"/>
            <w:tcBorders/>
            <w:shd w:fill="CCEEFF" w:val="clear"/>
            <w:vAlign w:val="bottom"/>
          </w:tcPr>
          <w:p>
            <w:pPr>
              <w:pStyle w:val="TableContents"/>
              <w:spacing w:before="0" w:after="283"/>
              <w:jc w:val="center"/>
              <w:rPr/>
            </w:pPr>
            <w:r>
              <w:rPr/>
              <w:t>4.05 years</w:t>
            </w:r>
          </w:p>
        </w:tc>
      </w:tr>
      <w:tr>
        <w:trPr/>
        <w:tc>
          <w:tcPr>
            <w:tcW w:w="3736"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174"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Share Purchase Warrants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companys share purchase warrant activity is as follows: </w:t>
      </w:r>
    </w:p>
    <w:tbl>
      <w:tblPr>
        <w:tblW w:w="5000" w:type="pct"/>
        <w:jc w:val="center"/>
        <w:tblInd w:w="0" w:type="dxa"/>
        <w:tblCellMar>
          <w:top w:w="0" w:type="dxa"/>
          <w:left w:w="0" w:type="dxa"/>
          <w:bottom w:w="0" w:type="dxa"/>
          <w:right w:w="0" w:type="dxa"/>
        </w:tblCellMar>
      </w:tblPr>
      <w:tblGrid>
        <w:gridCol w:w="3736"/>
        <w:gridCol w:w="295"/>
        <w:gridCol w:w="200"/>
        <w:gridCol w:w="994"/>
        <w:gridCol w:w="234"/>
        <w:gridCol w:w="295"/>
        <w:gridCol w:w="523"/>
        <w:gridCol w:w="1245"/>
        <w:gridCol w:w="307"/>
        <w:gridCol w:w="295"/>
        <w:gridCol w:w="723"/>
        <w:gridCol w:w="627"/>
        <w:gridCol w:w="731"/>
      </w:tblGrid>
      <w:tr>
        <w:trPr/>
        <w:tc>
          <w:tcPr>
            <w:tcW w:w="373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spacing w:before="0" w:after="283"/>
              <w:jc w:val="center"/>
              <w:rPr/>
            </w:pPr>
            <w:r>
              <w:rPr/>
              <w:t>Number of</w:t>
            </w:r>
          </w:p>
        </w:tc>
        <w:tc>
          <w:tcPr>
            <w:tcW w:w="295" w:type="dxa"/>
            <w:tcBorders/>
            <w:shd w:fill="auto" w:val="clear"/>
            <w:vAlign w:val="bottom"/>
          </w:tcPr>
          <w:p>
            <w:pPr>
              <w:pStyle w:val="TableContents"/>
              <w:spacing w:before="0" w:after="283"/>
              <w:rPr/>
            </w:pPr>
            <w:r>
              <w:rPr/>
              <w:t> </w:t>
            </w:r>
          </w:p>
        </w:tc>
        <w:tc>
          <w:tcPr>
            <w:tcW w:w="2075" w:type="dxa"/>
            <w:gridSpan w:val="3"/>
            <w:tcBorders/>
            <w:shd w:fill="auto" w:val="clear"/>
            <w:vAlign w:val="bottom"/>
          </w:tcPr>
          <w:p>
            <w:pPr>
              <w:pStyle w:val="TableContents"/>
              <w:spacing w:before="0" w:after="283"/>
              <w:jc w:val="center"/>
              <w:rPr/>
            </w:pPr>
            <w:r>
              <w:rPr/>
              <w:t>Weighted Average</w:t>
            </w:r>
          </w:p>
        </w:tc>
        <w:tc>
          <w:tcPr>
            <w:tcW w:w="295" w:type="dxa"/>
            <w:tcBorders/>
            <w:shd w:fill="auto" w:val="clear"/>
            <w:vAlign w:val="bottom"/>
          </w:tcPr>
          <w:p>
            <w:pPr>
              <w:pStyle w:val="TableContents"/>
              <w:spacing w:before="0" w:after="283"/>
              <w:rPr/>
            </w:pPr>
            <w:r>
              <w:rPr/>
              <w:t> </w:t>
            </w:r>
          </w:p>
        </w:tc>
        <w:tc>
          <w:tcPr>
            <w:tcW w:w="2081" w:type="dxa"/>
            <w:gridSpan w:val="3"/>
            <w:tcBorders/>
            <w:shd w:fill="auto" w:val="clear"/>
            <w:vAlign w:val="bottom"/>
          </w:tcPr>
          <w:p>
            <w:pPr>
              <w:pStyle w:val="TableContents"/>
              <w:spacing w:before="0" w:after="283"/>
              <w:jc w:val="center"/>
              <w:rPr/>
            </w:pPr>
            <w:r>
              <w:rPr/>
              <w:t>Weighted Average</w:t>
            </w:r>
          </w:p>
        </w:tc>
      </w:tr>
      <w:tr>
        <w:trPr/>
        <w:tc>
          <w:tcPr>
            <w:tcW w:w="373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spacing w:before="0" w:after="283"/>
              <w:jc w:val="center"/>
              <w:rPr/>
            </w:pPr>
            <w:r>
              <w:rPr/>
              <w:t>warrants</w:t>
            </w:r>
          </w:p>
        </w:tc>
        <w:tc>
          <w:tcPr>
            <w:tcW w:w="295" w:type="dxa"/>
            <w:tcBorders/>
            <w:shd w:fill="auto" w:val="clear"/>
            <w:vAlign w:val="bottom"/>
          </w:tcPr>
          <w:p>
            <w:pPr>
              <w:pStyle w:val="TableContents"/>
              <w:spacing w:before="0" w:after="283"/>
              <w:rPr/>
            </w:pPr>
            <w:r>
              <w:rPr/>
              <w:t> </w:t>
            </w:r>
          </w:p>
        </w:tc>
        <w:tc>
          <w:tcPr>
            <w:tcW w:w="2075" w:type="dxa"/>
            <w:gridSpan w:val="3"/>
            <w:tcBorders/>
            <w:shd w:fill="auto" w:val="clear"/>
            <w:vAlign w:val="bottom"/>
          </w:tcPr>
          <w:p>
            <w:pPr>
              <w:pStyle w:val="TableContents"/>
              <w:spacing w:before="0" w:after="283"/>
              <w:jc w:val="center"/>
              <w:rPr/>
            </w:pPr>
            <w:r>
              <w:rPr/>
              <w:t>Exercise Price</w:t>
            </w:r>
          </w:p>
        </w:tc>
        <w:tc>
          <w:tcPr>
            <w:tcW w:w="295" w:type="dxa"/>
            <w:tcBorders/>
            <w:shd w:fill="auto" w:val="clear"/>
            <w:vAlign w:val="bottom"/>
          </w:tcPr>
          <w:p>
            <w:pPr>
              <w:pStyle w:val="TableContents"/>
              <w:spacing w:before="0" w:after="283"/>
              <w:rPr/>
            </w:pPr>
            <w:r>
              <w:rPr/>
              <w:t> </w:t>
            </w:r>
          </w:p>
        </w:tc>
        <w:tc>
          <w:tcPr>
            <w:tcW w:w="2081" w:type="dxa"/>
            <w:gridSpan w:val="3"/>
            <w:tcBorders/>
            <w:shd w:fill="auto" w:val="clear"/>
            <w:vAlign w:val="bottom"/>
          </w:tcPr>
          <w:p>
            <w:pPr>
              <w:pStyle w:val="TableContents"/>
              <w:spacing w:before="0" w:after="283"/>
              <w:jc w:val="center"/>
              <w:rPr/>
            </w:pPr>
            <w:r>
              <w:rPr/>
              <w:t>Remaining Life</w:t>
            </w:r>
          </w:p>
        </w:tc>
      </w:tr>
      <w:tr>
        <w:trPr/>
        <w:tc>
          <w:tcPr>
            <w:tcW w:w="3736"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17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36" w:type="dxa"/>
            <w:tcBorders/>
            <w:shd w:fill="CCEEFF" w:val="clear"/>
            <w:vAlign w:val="bottom"/>
          </w:tcPr>
          <w:p>
            <w:pPr>
              <w:pStyle w:val="TableContents"/>
              <w:spacing w:before="0" w:after="0"/>
              <w:ind w:left="225" w:right="0" w:hanging="225"/>
              <w:rPr/>
            </w:pPr>
            <w:r>
              <w:rPr/>
              <w:t>Balance, December 31, 2003</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1,076,535</w:t>
            </w:r>
          </w:p>
        </w:tc>
        <w:tc>
          <w:tcPr>
            <w:tcW w:w="23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1245" w:type="dxa"/>
            <w:tcBorders/>
            <w:shd w:fill="CCEEFF" w:val="clear"/>
            <w:vAlign w:val="bottom"/>
          </w:tcPr>
          <w:p>
            <w:pPr>
              <w:pStyle w:val="TableContents"/>
              <w:spacing w:before="0" w:after="283"/>
              <w:jc w:val="right"/>
              <w:rPr/>
            </w:pPr>
            <w:r>
              <w:rPr/>
              <w:t>1.89</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81" w:type="dxa"/>
            <w:gridSpan w:val="3"/>
            <w:tcBorders/>
            <w:shd w:fill="CCEEFF" w:val="clear"/>
            <w:vAlign w:val="bottom"/>
          </w:tcPr>
          <w:p>
            <w:pPr>
              <w:pStyle w:val="TableContents"/>
              <w:spacing w:before="0" w:after="283"/>
              <w:jc w:val="center"/>
              <w:rPr/>
            </w:pPr>
            <w:r>
              <w:rPr/>
              <w:t>1.53 years</w:t>
            </w:r>
          </w:p>
        </w:tc>
      </w:tr>
      <w:tr>
        <w:trPr/>
        <w:tc>
          <w:tcPr>
            <w:tcW w:w="3736" w:type="dxa"/>
            <w:tcBorders/>
            <w:shd w:fill="auto" w:val="clear"/>
            <w:vAlign w:val="bottom"/>
          </w:tcPr>
          <w:p>
            <w:pPr>
              <w:pStyle w:val="TableContents"/>
              <w:spacing w:before="0" w:after="0"/>
              <w:ind w:left="225" w:right="0" w:hanging="225"/>
              <w:rPr/>
            </w:pPr>
            <w:r>
              <w:rPr/>
              <w:t>Issued during the period</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1,398,810</w:t>
            </w:r>
          </w:p>
        </w:tc>
        <w:tc>
          <w:tcPr>
            <w:tcW w:w="23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0.57</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CCEEFF" w:val="clear"/>
            <w:vAlign w:val="bottom"/>
          </w:tcPr>
          <w:p>
            <w:pPr>
              <w:pStyle w:val="TableContents"/>
              <w:spacing w:before="0" w:after="0"/>
              <w:ind w:left="225" w:right="0" w:hanging="225"/>
              <w:rPr/>
            </w:pPr>
            <w:r>
              <w:rPr/>
              <w:t>Exercised during the period</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w:t>
            </w:r>
          </w:p>
        </w:tc>
        <w:tc>
          <w:tcPr>
            <w:tcW w:w="23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r>
      <w:tr>
        <w:trPr/>
        <w:tc>
          <w:tcPr>
            <w:tcW w:w="3736" w:type="dxa"/>
            <w:tcBorders/>
            <w:shd w:fill="auto" w:val="clear"/>
            <w:vAlign w:val="bottom"/>
          </w:tcPr>
          <w:p>
            <w:pPr>
              <w:pStyle w:val="TableContents"/>
              <w:spacing w:before="0" w:after="0"/>
              <w:ind w:left="225" w:right="0" w:hanging="225"/>
              <w:rPr/>
            </w:pPr>
            <w:r>
              <w:rPr/>
              <w:t>Expired during the period</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pPr>
            <w:r>
              <w:rPr/>
              <w:t> </w:t>
            </w:r>
          </w:p>
        </w:tc>
        <w:tc>
          <w:tcPr>
            <w:tcW w:w="994" w:type="dxa"/>
            <w:tcBorders/>
            <w:shd w:fill="auto" w:val="clear"/>
            <w:vAlign w:val="bottom"/>
          </w:tcPr>
          <w:p>
            <w:pPr>
              <w:pStyle w:val="TableContents"/>
              <w:spacing w:before="0" w:after="283"/>
              <w:jc w:val="right"/>
              <w:rPr/>
            </w:pPr>
            <w:r>
              <w:rPr/>
              <w:t>(492,375</w:t>
            </w:r>
          </w:p>
        </w:tc>
        <w:tc>
          <w:tcPr>
            <w:tcW w:w="234" w:type="dxa"/>
            <w:tcBorders/>
            <w:shd w:fill="auto" w:val="clear"/>
            <w:vAlign w:val="bottom"/>
          </w:tcPr>
          <w:p>
            <w:pPr>
              <w:pStyle w:val="TableContents"/>
              <w:spacing w:before="0" w:after="283"/>
              <w:rPr/>
            </w:pPr>
            <w:r>
              <w:rPr/>
              <w:t>)</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3.04</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17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36" w:type="dxa"/>
            <w:tcBorders/>
            <w:shd w:fill="auto" w:val="clear"/>
            <w:vAlign w:val="center"/>
          </w:tcPr>
          <w:p>
            <w:pPr>
              <w:pStyle w:val="TableContents"/>
              <w:spacing w:before="0" w:after="283"/>
              <w:rPr/>
            </w:pPr>
            <w:r>
              <w:rPr/>
              <w:t> </w:t>
            </w:r>
          </w:p>
        </w:tc>
        <w:tc>
          <w:tcPr>
            <w:tcW w:w="6469" w:type="dxa"/>
            <w:gridSpan w:val="12"/>
            <w:tcBorders/>
            <w:shd w:fill="auto" w:val="clear"/>
          </w:tcPr>
          <w:p>
            <w:pPr>
              <w:pStyle w:val="TableContents"/>
              <w:spacing w:before="0" w:after="283"/>
              <w:rPr>
                <w:sz w:val="4"/>
                <w:szCs w:val="4"/>
              </w:rPr>
            </w:pPr>
            <w:r>
              <w:rPr>
                <w:sz w:val="4"/>
                <w:szCs w:val="4"/>
              </w:rPr>
            </w:r>
          </w:p>
        </w:tc>
      </w:tr>
      <w:tr>
        <w:trPr/>
        <w:tc>
          <w:tcPr>
            <w:tcW w:w="3736" w:type="dxa"/>
            <w:tcBorders/>
            <w:shd w:fill="CCEEFF" w:val="clear"/>
            <w:vAlign w:val="bottom"/>
          </w:tcPr>
          <w:p>
            <w:pPr>
              <w:pStyle w:val="TableContents"/>
              <w:spacing w:before="0" w:after="0"/>
              <w:ind w:left="225" w:right="0" w:hanging="225"/>
              <w:rPr/>
            </w:pPr>
            <w:r>
              <w:rPr/>
              <w:t>Balance, December 31, 2004</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1,982,970</w:t>
            </w:r>
          </w:p>
        </w:tc>
        <w:tc>
          <w:tcPr>
            <w:tcW w:w="23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0.68</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81" w:type="dxa"/>
            <w:gridSpan w:val="3"/>
            <w:tcBorders/>
            <w:shd w:fill="CCEEFF" w:val="clear"/>
            <w:vAlign w:val="bottom"/>
          </w:tcPr>
          <w:p>
            <w:pPr>
              <w:pStyle w:val="TableContents"/>
              <w:spacing w:before="0" w:after="283"/>
              <w:jc w:val="center"/>
              <w:rPr/>
            </w:pPr>
            <w:r>
              <w:rPr/>
              <w:t>1.22 years</w:t>
            </w:r>
          </w:p>
        </w:tc>
      </w:tr>
      <w:tr>
        <w:trPr/>
        <w:tc>
          <w:tcPr>
            <w:tcW w:w="3736" w:type="dxa"/>
            <w:tcBorders/>
            <w:shd w:fill="auto" w:val="clear"/>
            <w:vAlign w:val="bottom"/>
          </w:tcPr>
          <w:p>
            <w:pPr>
              <w:pStyle w:val="TableContents"/>
              <w:spacing w:before="0" w:after="0"/>
              <w:ind w:left="225" w:right="0" w:hanging="225"/>
              <w:rPr/>
            </w:pPr>
            <w:r>
              <w:rPr/>
              <w:t>Issued during the period</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4,940,898</w:t>
            </w:r>
          </w:p>
        </w:tc>
        <w:tc>
          <w:tcPr>
            <w:tcW w:w="23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0.30</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CCEEFF" w:val="clear"/>
            <w:vAlign w:val="bottom"/>
          </w:tcPr>
          <w:p>
            <w:pPr>
              <w:pStyle w:val="TableContents"/>
              <w:spacing w:before="0" w:after="0"/>
              <w:ind w:left="225" w:right="0" w:hanging="225"/>
              <w:rPr/>
            </w:pPr>
            <w:r>
              <w:rPr/>
              <w:t>Exercised during the period</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w:t>
            </w:r>
          </w:p>
        </w:tc>
        <w:tc>
          <w:tcPr>
            <w:tcW w:w="23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r>
      <w:tr>
        <w:trPr/>
        <w:tc>
          <w:tcPr>
            <w:tcW w:w="3736" w:type="dxa"/>
            <w:tcBorders/>
            <w:shd w:fill="auto" w:val="clear"/>
            <w:vAlign w:val="bottom"/>
          </w:tcPr>
          <w:p>
            <w:pPr>
              <w:pStyle w:val="TableContents"/>
              <w:spacing w:before="0" w:after="0"/>
              <w:ind w:left="225" w:right="0" w:hanging="225"/>
              <w:rPr/>
            </w:pPr>
            <w:r>
              <w:rPr/>
              <w:t>Expired during the period</w:t>
            </w:r>
          </w:p>
        </w:tc>
        <w:tc>
          <w:tcPr>
            <w:tcW w:w="29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w:t>
            </w:r>
          </w:p>
        </w:tc>
        <w:tc>
          <w:tcPr>
            <w:tcW w:w="23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w:t>
            </w:r>
          </w:p>
        </w:tc>
        <w:tc>
          <w:tcPr>
            <w:tcW w:w="3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r>
      <w:tr>
        <w:trPr/>
        <w:tc>
          <w:tcPr>
            <w:tcW w:w="3736"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17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36" w:type="dxa"/>
            <w:tcBorders/>
            <w:shd w:fill="auto" w:val="clear"/>
            <w:vAlign w:val="center"/>
          </w:tcPr>
          <w:p>
            <w:pPr>
              <w:pStyle w:val="TableContents"/>
              <w:spacing w:before="0" w:after="283"/>
              <w:rPr/>
            </w:pPr>
            <w:r>
              <w:rPr/>
              <w:t> </w:t>
            </w:r>
          </w:p>
        </w:tc>
        <w:tc>
          <w:tcPr>
            <w:tcW w:w="6469" w:type="dxa"/>
            <w:gridSpan w:val="12"/>
            <w:tcBorders/>
            <w:shd w:fill="auto" w:val="clear"/>
          </w:tcPr>
          <w:p>
            <w:pPr>
              <w:pStyle w:val="TableContents"/>
              <w:spacing w:before="0" w:after="283"/>
              <w:rPr>
                <w:sz w:val="4"/>
                <w:szCs w:val="4"/>
              </w:rPr>
            </w:pPr>
            <w:r>
              <w:rPr>
                <w:sz w:val="4"/>
                <w:szCs w:val="4"/>
              </w:rPr>
            </w:r>
          </w:p>
        </w:tc>
      </w:tr>
      <w:tr>
        <w:trPr/>
        <w:tc>
          <w:tcPr>
            <w:tcW w:w="3736" w:type="dxa"/>
            <w:tcBorders/>
            <w:shd w:fill="CCEEFF" w:val="clear"/>
            <w:vAlign w:val="bottom"/>
          </w:tcPr>
          <w:p>
            <w:pPr>
              <w:pStyle w:val="TableContents"/>
              <w:spacing w:before="0" w:after="0"/>
              <w:ind w:left="225" w:right="0" w:hanging="225"/>
              <w:rPr/>
            </w:pPr>
            <w:r>
              <w:rPr/>
              <w:t>Balance, June 30, 2005</w:t>
            </w:r>
          </w:p>
        </w:tc>
        <w:tc>
          <w:tcPr>
            <w:tcW w:w="29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6,923,898</w:t>
            </w:r>
          </w:p>
        </w:tc>
        <w:tc>
          <w:tcPr>
            <w:tcW w:w="23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1245" w:type="dxa"/>
            <w:tcBorders/>
            <w:shd w:fill="CCEEFF" w:val="clear"/>
            <w:vAlign w:val="bottom"/>
          </w:tcPr>
          <w:p>
            <w:pPr>
              <w:pStyle w:val="TableContents"/>
              <w:spacing w:before="0" w:after="283"/>
              <w:jc w:val="right"/>
              <w:rPr/>
            </w:pPr>
            <w:r>
              <w:rPr/>
              <w:t>0.41</w:t>
            </w:r>
          </w:p>
        </w:tc>
        <w:tc>
          <w:tcPr>
            <w:tcW w:w="30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81" w:type="dxa"/>
            <w:gridSpan w:val="3"/>
            <w:tcBorders/>
            <w:shd w:fill="CCEEFF" w:val="clear"/>
            <w:vAlign w:val="bottom"/>
          </w:tcPr>
          <w:p>
            <w:pPr>
              <w:pStyle w:val="TableContents"/>
              <w:spacing w:before="0" w:after="283"/>
              <w:jc w:val="center"/>
              <w:rPr/>
            </w:pPr>
            <w:r>
              <w:rPr/>
              <w:t>1.35 years</w:t>
            </w:r>
          </w:p>
        </w:tc>
      </w:tr>
      <w:tr>
        <w:trPr/>
        <w:tc>
          <w:tcPr>
            <w:tcW w:w="3736"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174"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- 12 -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NOTES TO INTERIM CONSOLIDATED FINANCIAL STATEMENTS</w:t>
        <w:br/>
        <w:t>(a development stage company)</w:t>
        <w:br/>
        <w:t>JUNE 30, 2005 (Unaudited)</w:t>
      </w:r>
    </w:p>
    <w:p>
      <w:pPr>
        <w:pStyle w:val="TextBody"/>
        <w:spacing w:before="120" w:after="283"/>
        <w:jc w:val="left"/>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8  INCOME TAXES</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were no temporary differences between the companys tax and financial bases that result in deferred tax assets, except for the companys net operating loss carry forwards amounting to approximately $9,200,000 (December 31, 2004  $8,900,000) which may be available to reduce future years taxable income. These carryforwards will expire, if not utilized, commencing in 2008. Management believes that the realization of the benefits from these deferred tax assets appears uncertain due to the companys limited operating history and continuing losses. Accordingly a full, deferred tax asset valuation allowance has been provided and no deferred tax asset benefit has been recorded.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9  LEGAL SETTLEMENT</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requested that its former transfer agent, X-Clearing Corp. (X-Clearing), deliver company documents to a new transfer agent. X-Clearing claimed a security lien on company documents. Following filing of a complaint by the company, a preliminary court hearing was held in Denver CO on September 22, 2004, following which both sides agreed to attempt a voluntary mediation process. A resolution was not achieved in the mediation process and the company reinstituted court action to retrieve its records. The preliminary hearing court determination indicated that by providing proper notice of termination and posting of a bond in the amount of $250,000, it would likely cause X-Clearing to transfer the records of the company to a new transfer agent. The company has settled its lawsuit against X-Clearing as set forth at a hearing held March 18, 2005. As part of the settlement, the company agreed to pay X-Clearing a total of $200,000 which was accrued as at December 31, 2004. The amount is payable in two equal installments the first of which is due upon the ability of the new transfer agent to act for the company and the second of which is payable upon X-Clearing meeting certain conditions as outlined in the settlement. As at March 31, 2005, the company had posted the $250,000 bond which was been recorded as prepaid expenses and deposits. During the second quarter of 2005, the $200,000 was paid to X-Clearing and the remaining $50,000 was returned to the company net of certain legal costs incurred. </w:t>
      </w:r>
    </w:p>
    <w:p>
      <w:pPr>
        <w:pStyle w:val="TextBody"/>
        <w:jc w:val="center"/>
        <w:rPr>
          <w:rFonts w:ascii="Times New Roman;Times;serif" w:hAnsi="Times New Roman;Times;serif"/>
          <w:sz w:val="17"/>
        </w:rPr>
      </w:pPr>
      <w:r>
        <w:rPr>
          <w:rFonts w:ascii="Times New Roman;Times;serif" w:hAnsi="Times New Roman;Times;serif"/>
          <w:sz w:val="17"/>
        </w:rPr>
        <w:t xml:space="preserve">- 13 -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9" w:name="107"/>
      <w:bookmarkEnd w:id="9"/>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Overview</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are currently conducting preclinical studies using our TAP gene technology with the aim of completing our preclinical trials and filing an Investigational Drug Application for cancer in approximately 12 months. We are also pursuing vaccine developments for infectious diseases using our TAP gene technology and an in-licensed Modified Vaccinia Ankora virus with the aim of establishing licensing and partnering relationships to generate revenue and advance our in- house projects closer to commercial products.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$6,000,000 over the next twenty-four months, which we expect to attempt to obtain through additional private placements of securities. The funding that we need would, if obtained, be used to support our activities pursuant to the Collaborative Research Agreement with the University of British Columbia, clinical grade production of our lead TAP vaccine product, commencement of human clinical studies, advance the development of our prophylactic vaccine campaign and proceed with potential acquisitions or in-licensing of new technologies or products. In the event that we are able to secure funding through the sale of the companys securities, it is expected that we will expand the companys management team to include a Director of Corporate Development and a Director of Regulatory Affairs. It is also anticipated that if we are able to advance our product development in oncology and prophylactic vaccines, we would incrementally increase the number of scientists employed under the Collaborative Research Agreement to approximately six from the current three.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we are able to generate revenues in the next few years, we expect that the source of such revenue would most likely consist of payments under collaborative arrangements with third parties, government grants, and license fees. We have incurred losses since our inception and expect to incur losses over the next several years due to our lack of any substantial source of revenue and the continuation of our ongoing and planned research and development efforts, including preclinical studies and clinical trials. There can be no assurance that we will successfully acquire, develop, commercialize, manufacture, or market our product candidates or ever achieve or sustain product revenues or profitability.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conduct our research and development at the University of British Columbia under the Collaborative Research Agreement, and contract out clinical grade production of our TAP based vaccines. In addition, we in-license one of our adeno and MVA vectors.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August 2004, the Collaborative Research Agreement expired and could not be continued because the company lacked the financial resources. However, the University did not terminate the research activities and research and development continued at the University of British Columbia through December 2004 on the understanding that the expenses incurred would be paid once the company received further financing or would be incorporated into the terms of a new agreement. As of June 30, 2005, outstanding debt of GeneMax to the University incurred pursuant to this arrangement was approximately CAN$468,954.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parties to the Collaborative Research Agreement have agreed to the principal terms of a renegotiated agreement which will provide for an estimated annual budget of CAN$295,000 (in quarterly installments of CAN$73,750) to allow for funding for one Ph.D. scientist and two support technicians. In addition, the University will continue to provide GeneMax with access to university laboratories and equipment at the University.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 Production Services Agreement with Molecular Medicine for the production of a Good Manufacturing Practices (GMP) grade TAP adeno based vaccine for pre-clinical toxicology analysis. However, in August 2004, we ceased production of one of our AdenoTAP vaccine candidates due to technical difficulties. The company has resolved technical issues for one of its AdenoTAP vaccine candidates and is currently in the process of assessing its productivity. Despite the technical difficulties we anticipate a clinical grade TAP based vaccine to be produced utilizing the adeno vector with the greatest productivity and to allow the company to meet its milestones for completing toxicology analysis by the end of the first quarter of fiscal 2006. We anticipate commencing clinical grade production of our oncology vaccine in October 2005.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was in breach of its contractual obligations with Molecular Medicine in respect of payments of $15,000 for Phase I of the project. The parties have agreed that advance payments that had been made for subsequent phases could be </w:t>
      </w:r>
    </w:p>
    <w:p>
      <w:pPr>
        <w:pStyle w:val="TextBody"/>
        <w:jc w:val="center"/>
        <w:rPr>
          <w:rFonts w:ascii="Times New Roman;Times;serif" w:hAnsi="Times New Roman;Times;serif"/>
          <w:sz w:val="17"/>
        </w:rPr>
      </w:pPr>
      <w:r>
        <w:rPr>
          <w:rFonts w:ascii="Times New Roman;Times;serif" w:hAnsi="Times New Roman;Times;serif"/>
          <w:sz w:val="17"/>
        </w:rPr>
        <w:t xml:space="preserve">- 14 -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allocated to the Phase I deficiency so that all payments that were due under the PSA have now been paid in full and the company has a credit of approximately $78,000 with Molecular Medicine to be applied towards future vaccine production.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 Research License and Option Agreement with Crucell (Netherlands) for the use of the PER C6 cell line for our in-house development programs.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the date of this report, approximately $245,000 was owing to Crucell.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are not taken within 3 months after notice in writing to the defaulting party. Crucell gave GeneMax notice of default on July 6, 2005. Genemax has until 3 months from the date of notice to remedy this issue.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have a License Agreement with the National Institute of Health (USA) for the use of the Modified Vaccinia Ankora (MVA) virus for the development of vaccines. We will continue to license this technology for the development of prophylactic vaccines against infectious diseases.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Plan of Operation and Funding</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Over the next 12 months the company will focus its efforts to complete development and clinical grade production of its AdhTAP vaccine for oncology and develop its candidate vaccine for infectious disease. The companys 12 month operational focus is to manage the lead vaccine candidates for both human cancer and for infectious disease through preclinical and toxicology studies and to advance these products for clinical trials in humans. The companys current cash position should allow it to continue to operate until September of 2005. Management believes that an estimated $1,300,000 will be required over the next twelve months and a further $5,000,000 is required over the next two years for expenses associated with the balance of pre-clinical development and completion of Phase I clinical trials for the TAP Cancer Vaccine and for various operating expenses. If funding were available, the company plans to increase its research and development activities through outsourcing and collaborations with contract research organizations, industry partners and academic institutions. Over the next 12 months, the company does not plan to invest in the purchase of equipment and other associated infrastructural costs.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has not generated any cash flow to fund its operations and activities due primarily to the nature of lengthy product development cycles that are normal to the biotech industry. Therefore, the company must raise additional funds in the future to continue operations. Management believes that the companys future viability is dependent on the companys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the companys overall business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Application of Critical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grants stock options to compensate certain employees, officers, directors, and consultants of the company. As the company is currently in the development stage, these stock options form a significant portion of the overall compensation provided by the company. As a result, the companys accounting policy with respect to these grants of stock options is critical to the companys overall financial statement presentation, financial position, and results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accounts for stock based compensation in connection with these stock option grants in accordance with Financial Accounting Standards No. 123 and 148, Accounting Principles Board Opinion No. 25, and Financial Accounting Standards Board Interpretation No. 44. For further details, refer to the Summary of Significant Accounting Policies in the notes to the companys consolidated financial statements contained herein.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Off-Balance Sheet Arrangements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are material to investors.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Recent Accounting Pronouncements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December 2004, the FASB issued Statement of Financial Accounting Standards (SFAS) No. 123R, Share-Based Payment, which establishes standards for the accounting for transactions in which an entity exchanges its equity instruments for goods or services. A key provision of this statement is the requirement of a public entity to measure the cost of employee </w:t>
      </w:r>
    </w:p>
    <w:p>
      <w:pPr>
        <w:pStyle w:val="TextBody"/>
        <w:jc w:val="center"/>
        <w:rPr>
          <w:rFonts w:ascii="Times New Roman;Times;serif" w:hAnsi="Times New Roman;Times;serif"/>
          <w:sz w:val="17"/>
        </w:rPr>
      </w:pPr>
      <w:r>
        <w:rPr>
          <w:rFonts w:ascii="Times New Roman;Times;serif" w:hAnsi="Times New Roman;Times;serif"/>
          <w:sz w:val="17"/>
        </w:rPr>
        <w:t xml:space="preserve">- 15 -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services received in exchange for an award of equity instruments (including stock options) based on the grant date fair value of the award. That cost will be recognized over the period during which an employee is required to provide service in exchange for the award (i.e., the requisite service period or vesting period). This standard becomes effective for the company for its first annual or interim period ended on or after December 15, 2005. The company will adopt SFAS 123R no later than October 1, 2005. Management is currently evaluating the potential impact that the adoption of SFAS 123R will have on the companys financial position and results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December 2004, the FASB issued SFAS No. 153, </w:t>
      </w:r>
      <w:r>
        <w:rPr>
          <w:rFonts w:ascii="Times New Roman;Times;serif" w:hAnsi="Times New Roman;Times;serif"/>
          <w:i/>
          <w:sz w:val="17"/>
        </w:rPr>
        <w:t xml:space="preserve">Exchanges of Non-monetary Assets, an amendment of APB Opinion No. 29, Accounting for Non-monetary Transactions </w:t>
      </w:r>
      <w:r>
        <w:rPr>
          <w:rFonts w:ascii="Times New Roman;Times;serif" w:hAnsi="Times New Roman;Times;serif"/>
          <w:sz w:val="17"/>
        </w:rPr>
        <w:t xml:space="preserve">(SFAS 153). SFAS 153 requires that exchanges of non-monetary assets are to be measured based on fair value and eliminates the exception for exchanges of non-monetary, similar productive assets, and adds an exemption for non-monetary exchanges that do not have commercial substance. SFAS 153 will be effective for fiscal periods beginning after June 15, 2005. Management does not believe that the adoption of this standard will have a material impact on the companys financial position or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 investment in GeneMax entails certain risks that should be carefully considered. In addition, these risk factors could cause actual results to differ materially from those expected include the following: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We have a history of operating losses and need to raise funds immediately.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continue to incur losses and are likely to require additional financing. We have incurred operating losses and negative cash flow from operations for most of our history. Losses incurred since our inception have aggregated $12,919,397 and there can be no assurance that we will be able to generate positive cash flows to fund our operations in the future or to pursue our strategic objectives. We believe that we will have sufficient cash to satisfy our needs until approximately the end of July 2005. If we are not able to operate profitably and generate positive cash flows, we will undoubtedly need to raise additional capital, most likely via the sale of equity securities, to fund our operations. If we do in fact need additional financing to meet our requirements, there can be no assurance that we will be able to obtain such financing on terms satisfactory to us, if at all. Alternatively, any additional equity financing may be dilutive to existing stockholders, and debt financing, if available, may include restrictive covenants. If adequate funds are not available, we might be required to limit our research and development activities or our selling, marketing and administrative activities any of which could cause the company to cease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do not have any products that generate revenue and expect our operating losses to increase significantly as we commence clinical trials. We do not expect to earn significant revenue for several years, and may never do so.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The independent auditors report accompanying our December 31, 2004 consolidated financial statements contains an explanatory paragraph expressing substantial doubt about our ability to continue as a going concern.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December 31, 2004 consolidated financial statements were prepared assuming that the company will continue as a going concern, which contemplates that we will realize our assets and satisfy our liabilities and commitments in the ordinary course of business. Our ability to continue as a going concern is dependent on raising additional capital to fund ongoing research and development and ultimately on generating future profitable operations. There can be no assurance that we will be able to raise sufficient additional capital or eventually positive cash flow from operations to address all of our cash flow needs.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We depend upon collaborative relationships and third parties for product development and commercialization, and are in breach of many of the agreements with these parties.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historically entered into research and development agreements with collaborative partners. Pursuant to these agreements, our collaborative partners provide us with the intellectual property and licenses of the intellectual property necessary to develop and commercialize our product candidates. We will continue to rely on future collaborative partners for the development of products and technologies. There can be no assurance that we will be able to negotiate such collaborative arrangements on acceptable terms, if at all, or that current or future collaborative arrangements will be successful. To the extent that we are not able to establish such arrangements, we could be forced to undertake such activities at our own expense. The amount and timing of resources that any of these partners devotes to these activities will generally be based on progress by us in our product development efforts. Some of our collaborative arrangements may be terminated by the partner upon prior notice without cause and there can be no assurance that any of these partners will perform its contractual obligations or that it will not terminate its agreement. </w:t>
      </w:r>
    </w:p>
    <w:p>
      <w:pPr>
        <w:pStyle w:val="TextBody"/>
        <w:jc w:val="center"/>
        <w:rPr>
          <w:rFonts w:ascii="Times New Roman;Times;serif" w:hAnsi="Times New Roman;Times;serif"/>
          <w:sz w:val="17"/>
        </w:rPr>
      </w:pPr>
      <w:r>
        <w:rPr>
          <w:rFonts w:ascii="Times New Roman;Times;serif" w:hAnsi="Times New Roman;Times;serif"/>
          <w:sz w:val="17"/>
        </w:rPr>
        <w:t xml:space="preserve">- 16 -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Collaborative Research Agreement with the University of British Columbia expired on August 31, 2004. The parties to the Collaborative Research Agreement have agreed on the principle terms of a renegotiated agreement which will provide for an estimated annual budget of CAN$295,000 (in quarterly installments of CAN$73,750) to allow for funding for one Ph.D. scientist and two support technicians. In addition, the University will continue to provide GeneMax with access to university laboratories and equipment at the University. As at the date of this quarterly report, approximately CAN$468,954 is due to University of British Columbia. To the date of this filing, the University has continued the research activities associated with the Collaborative Research Agreement, however, they are not obliged to continue to do so.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December 31, 2003, we have made payments total payment of $115,490 to Crucell Holland B.V. pursuant to the terms of the Research License and Option Agreement. However, a further $60,864 was due and payable on February 7, 2004, a further $60,103 ( 50,000) was due and payable on August 7, 2004 and a further $64,300 was due and payable February 7, 2005, leaving $185,267 owing as of June 30, 2005 under the terms of the agreement. To date, the company had not these amounts.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within three months after notice in writing to the defaulting party. On July 6, 2005, GeneMax received notice of default from Crucell Holland.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was in breach of its license obligations with Crucell in respect of payments due under the license agreement. The parties are currently in discussions in order to remedy the companys license obligations.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Biological Materials Transfer Agreement with the National Institute of Allergy and Infectious Diseases, payments of $2,876 are now overdue, although the Public Health Service (PHS) has not issued a notice of default. PHS may terminate this Agreement if the company is in default in the performance of any material obligation under this Agreement, and if the default has not been remedied within ninety days after the date of written notice by PHS of such default.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Preclinical testing and future clinical trials may take longer than anticipated, and we may be unable to complete them at all.</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While management believes that the Phase I human clinical trials of the TAP Cancer Vaccine in oncology will commence during the second or third quarter of fiscal year 2006 there can be no assurances that they will occur on this time frame, if at all. We may not commence or complete the pivotal clinical trials of the TAP Cancer Vaccine or commence or complete clinical trials involving any other product candidates or may not conduct them successfully. Further, our development costs will increase if we experience any future delays in the preclinical trials or clinical trials for the TAP Cancer Vaccine or other potential products or if we are required to perform additional or larger clinical trials than currently planned. Any substantial delay of or the failure to complete the clinical trials would have a material adverse effect upon our business.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testing of a particular product candidate does not yield successful results, then we will be unable to commercialize that product. We must demonstrate the safety and efficacy of the TAP Cancer Vaccine and its other potential products in humans through extensive preclinical and clinical testing. We may experience numerous unforeseen events during, or as a result of, the testing process that could delay or prevent commercialization of our product candidates. Further, clinical testing is very expensive, the process takes many years, and the outcome is uncertain. Unsuccessful results from preclinical and clinical testing will have a material adverse effect on our business.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Our products and activities are subject to regulation by various governments and government agencies.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testing of our products is subject to regulation by numerous governmental authorities, principally the United States Food and Drug Administration, or FDA, and certain foreign regulatory agencies. Pursuant to the Federal Food, Drug, and Cosmetic Act, and the regulations promulgated there under, the FDA regulates the preclinical and clinical testing, development, and commercialization of our potential products. Noncompliance with applicable requirements can result in, among other consequences, fines, injunctions, civil penalties, recall or seizure of products, repair, replacement or refund of the cost of products, total or partial suspension of production, failure of the government to grant pre-market clearance or pre-market approval for devices, withdrawal of marketing clearances or approvals, and criminal prosecution.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Government regulation imposes significant costs and restrictions on the development and commercialization of our products and services. Our success will depend, in part, on our ability to satisfy regulatory requirements. We may not receive required regulatory approvals on a timely basis, if at all. Government agencies heavily regulate the production and sale of healthcare products and the provision of healthcare services. In particular, the FDA and comparable agencies in foreign countries must approve human therapeutic and diagnostic products before they are marketed, as well as the facilities in which they are made. This approval process can involve lengthy and detailed laboratory and clinical testing, sampling activities and other costly and </w:t>
      </w:r>
    </w:p>
    <w:p>
      <w:pPr>
        <w:pStyle w:val="TextBody"/>
        <w:jc w:val="center"/>
        <w:rPr>
          <w:rFonts w:ascii="Times New Roman;Times;serif" w:hAnsi="Times New Roman;Times;serif"/>
          <w:sz w:val="17"/>
        </w:rPr>
      </w:pPr>
      <w:r>
        <w:rPr>
          <w:rFonts w:ascii="Times New Roman;Times;serif" w:hAnsi="Times New Roman;Times;serif"/>
          <w:sz w:val="17"/>
        </w:rPr>
        <w:t xml:space="preserve">- 17 -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time-consuming procedures. Our failure to comply with applicable regulatory approval requirements may lead regulatory authorities to take action against us, which may delay or cease the development and commercialization of our product candidates.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Therapies that have received regulatory approval for commercial sale may continue to face regulatory difficulties. The FDA and comparable foreign regulatory agencies, may require post-marketing clinical trials or patient outcome studies. In addition, regulatory agencies subject a marketed therapy, its manufacturer and the manufacturers facilities to continual review and periodic inspections. The discovery of previously unknown problems with a therapy, the therapys manufacturer or the facility used to produce the therapy could prompt a regulatory authority to impose restrictions on the therapy, manufacturer or facility, including withdrawal of the therapy from the market.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Competition in the biotechnology and pharmaceutical industry is, and is expected to remain, significant, and we may never obtain market acceptance of our product candidates.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Competition in the cancer therapeutics and infectious disease vaccine fields is intense and is accentuated by the rapid pace of technological development. Our competitors are domestic and international biotechnology and pharmaceutical companies. Many of these companies have financial, technical, marketing, sales, manufacturing, distribution and other resources significantly greater than ours. In addition, many of these companies have name recognition, established positions in the market and long standing relationships with customers and distributors. Moreover, the industry has recently experienced a period of consolidation, during which many of the large domestic and international pharmaceutical companies have been acquiring mid-sized diagnostics companies, further increasing the concentration of resources. Our future success will depend on our ability to effectively develop and market our product candidates against those of our competitors. If our product candidates receive marketing approval, but cannot compete effectively in the marketplace, our business and financial position would suffer greatly. There can be no assurance that technologies will not be introduced that could be directly competitive with or superior to our technologies.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Market acceptance of the TAP Cancer Vaccine and our other product candidates is uncertain. Even if the TAP Cancer Vaccine and other potential products are approved and sold, physicians may not ultimately use them or may use them only in applications more restricted than we expect. Physicians will only prescribe a product if they determine, based on experience, clinical data, side effect profiles and other factors, that it is beneficial and preferable to other products and treatments then in use. Many other factors influence the adoption of new products, including marketing and distribution restrictions, course of treatment, adverse publicity, product pricing, the views of thought leaders in the medical community, and reimbursement by third-party payers. Failure to obtain market acceptance of our product candidates will have a material adverse effect upon our business.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We depend on key employees.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Due to the specialized nature of our business, our success will be highly dependent upon our ability to attract and retain qualified scientific and executive personnel. Our success depends to a significant extent upon our key management, including Konstantine Sarafis, our President and Chief Executive Officer, and Dr. Wilfred Jefferies, our Chief Scientific Officer. There can be no assurance that we will be successful in attracting and retaining the personnel we require to develop and market our product candidates and to conduct our operations successfully. Failure to retain Mr. Sarafis or Dr. Jefferies would have a material adverse effect upon our business and our shareholders.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Our success depends, in part, on our ability to obtain patents and license patent rights, to maintain trade secret protection and to operate without infringing on the proprietary rights of others.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success depends in part on our ability to obtain and maintain patent protection for the technology underlying our product candidates, both in the United States and in other countries. We cannot assure you that any of our current or future patent applications will result in issued patents, or that any patents issued to us or licensed by us will not be challenged, invalidated or held unenforceable. Further, we cannot guarantee that any patents issued to us will provide us with a significant competitive advantage. If we fail to successfully enforce our proprietary technology or otherwise maintain the proprietary nature of our intellectual property with respect to our significant current and proposed products, it would have a material adverse effect upon our business. We could incur substantial costs in defending the company or our licensees in litigation brought by others who claim that we are infringing on their intellectual property rights. The potential for reduced sales and increased legal expenses would have a negative impact on our cash flow and thus our overall business could be adversely affected. </w:t>
      </w:r>
    </w:p>
    <w:p>
      <w:pPr>
        <w:pStyle w:val="TextBody"/>
        <w:jc w:val="center"/>
        <w:rPr>
          <w:rFonts w:ascii="Times New Roman;Times;serif" w:hAnsi="Times New Roman;Times;serif"/>
          <w:sz w:val="17"/>
        </w:rPr>
      </w:pPr>
      <w:r>
        <w:rPr>
          <w:rFonts w:ascii="Times New Roman;Times;serif" w:hAnsi="Times New Roman;Times;serif"/>
          <w:sz w:val="17"/>
        </w:rPr>
        <w:t xml:space="preserve">- 18 -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sz w:val="17"/>
        </w:rPr>
        <w:t>The testing, manufacturing and marketing of therapeutic medical technology entails an inherent risk of product liability claims.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date, we have experienced no product liability claims, but any such claims arising in the future could have a material adverse effect on our business, financial condition and results of operations. Potential product liability claims may exceed the amount of our insurance coverage or may be excluded from coverage under the terms of our policy or limited by other claims under our umbrella insurance policy. Additionally, there can be no assurance that our existing insurance can be renewed by us at a cost and level of coverage comparable to that presently in effect, if at all. In the event that we are held liable for a claim against which we are not insured or for damages exceeding the limits of our insurance coverage, such claim could have a material adverse effect on our cash flow and thus potentially have a materially adverse effect on our business, financial condition and results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We use hazardous materials in some of our research and development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research activities sometimes involve the controlled use of various hazardous materials. Although we believe that our safety procedures for handling and disposing of such materials comply with the standards prescribed by state and federal regulations, the risk of accidental contamination or injury from these materials cannot be completely eliminated. We could be held liable for any damages that might result from any such accident involving such hazardous materials. Any such liability could have a material adverse effect on our business and financial condition.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There has, to date, been no active public market for our common stock, and there can be no assurance that an active public market will develop or be sustained; Lack of Dividends.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common stock has been traded on the OTC Bulletin Board since prior to the acquisition of GeneMax Pharmaceuticals. Both before and since the acquisition, trading in our common stock has been sporadic with insignificant volume. Moreover, the over-the-counter markets for securities of very small companies historically have experienced extreme price and volume fluctuations. These broad market fluctuations and other factors, such as new product developments, trends in our industry, the investment markets, economic conditions generally, and variation in our results of operations, may adversely affect the market price of our common stock. In addition, our common stock is subject to rules adopted by the Securities and Exchange Commission regulating broker-dealer practices in connection with transactions in penny stocks. Such rules require the delivery, prior to any penny stock transaction of a disclosure schedule explaining the penny stock market and all associated risks and impose various sales practice requirements on broker-dealers who sell penny stocks to certain investors. For these types of transactions the broker-dealer must make a special suitability determination for the purchaser and have received the purchasers written consent to the transaction prior to sale. The additional burdens imposed upon broker-dealers by such requirements may discourage broker-dealers from effecting transactions in securities subject to the penny stock rules. We do not intend to pay any cash dividends on our common stock in the foreseeable future. Significant fluctuations in out stock price may have a material adverse effect upon our shareholders.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We are controlled by management.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June 30, 2005, our officers and directors owned of record approximately 2,770,465 or 9.50% of the outstanding shares of common stock. If they exercise all of the options that they currently hold, they would own 5,820,465, shares of our common stock or 18.06% of the outstanding shares of common stock. Due to their stock ownership, the officers and directors may be in a position to elect the Board of Directors and to control our business and affairs, including certain significant corporate actions such as acquisitions, the sale or purchase of assets and the issuance and sale of the companys securities. The interest of our officers and directors may differ from the interests of other shareholders.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June 30, 2005, we had reserved 10,000,000 shares of common stock for issuance upon exercise of options which have been or may be granted pursuant to our stock option plans, of which options to purchase 4,680,000 shares were outstanding as of June 30, 2005. Additionally, as of June 30, 2005, there were 6,923,868 warrants outstanding to purchase our common stock. Sales of common stock underlying these stock options and warrants would have a significant dilutive effect upon our current shareholders and may adversely affect the price of the common stock.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FORWARD-LOOKING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Statements made in this Form 10-QSB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often can be identified by the use of terms such as may, will, expect, believe, anticipate, estimate, approximate or continue, or the negative thereof. The company intends that such forward-looking statements be subject to the safe harbors for such </w:t>
      </w:r>
    </w:p>
    <w:p>
      <w:pPr>
        <w:pStyle w:val="TextBody"/>
        <w:jc w:val="center"/>
        <w:rPr>
          <w:rFonts w:ascii="Times New Roman;Times;serif" w:hAnsi="Times New Roman;Times;serif"/>
          <w:sz w:val="17"/>
        </w:rPr>
      </w:pPr>
      <w:r>
        <w:rPr>
          <w:rFonts w:ascii="Times New Roman;Times;serif" w:hAnsi="Times New Roman;Times;serif"/>
          <w:sz w:val="17"/>
        </w:rPr>
        <w:t xml:space="preserve">- 19 -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statements. The company wishes to caution readers not to place undue reliance on any such forward-looking statements, which speak only as of the date made. Any forward-looking statements represent managements best judgment as to what may occur in the future. However, forward-looking statements are subject to risks, uncertainties and important factors beyond the control of the company that could cause actual results and events to differ materially from historical results of operations and events and those presently anticipated or projected. The company disclaims any obligation subsequently to revise any forward-looking statements to reflect events or circumstances after the date of such statement or to reflect the occurrence of anticipated or unanticipated events. </w:t>
      </w:r>
    </w:p>
    <w:p>
      <w:pPr>
        <w:pStyle w:val="TextBody"/>
        <w:spacing w:before="240" w:after="283"/>
        <w:jc w:val="left"/>
        <w:rPr>
          <w:rFonts w:ascii="Times New Roman;Times;serif" w:hAnsi="Times New Roman;Times;serif"/>
          <w:sz w:val="17"/>
        </w:rPr>
      </w:pPr>
      <w:bookmarkStart w:id="10" w:name="108"/>
      <w:bookmarkEnd w:id="10"/>
      <w:r>
        <w:rPr>
          <w:rFonts w:ascii="Times New Roman;Times;serif" w:hAnsi="Times New Roman;Times;serif"/>
          <w:b/>
          <w:sz w:val="17"/>
        </w:rPr>
        <w:t>Item 3.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maintains disclosure controls and procedures that are designed to ensure that information required to be disclosed in the reports under the Securities Exchange Act of 1934, as amended (Exchange Act) are communicated, processed, summarized and reported within the time periods specified in the SECs rules and forms. At the end of the companys second quarter of 2005, as required by Rules 13a-15 and 15d-15 of the Exchange Act, an evaluation was carried out under the supervision and with the participation of the companys management, including the Chief Executive Officer and the Principal Financial and Accounting Officer, of the effectiveness of the design and operation of disclosure controls and procedures (as defined in Rule 13a-15(e) under the Exchange Act). Based upon that evaluation, the Chief Executive Officer and the Principal Financial and Accounting Officer concluded that the design and operation of these disclosure controls and procedures were effective as of that date. No changes in internal controls over financial reporting identified in connection with its evaluation (as required by Rules 13a-15(d) of the Exchange Act) occurred during the second quarter of 2005 that materially affected, or were reasonably likely to materially affect, the companys internal control over financial reporting other than the addition of additional accounting staff. </w:t>
      </w:r>
    </w:p>
    <w:p>
      <w:pPr>
        <w:pStyle w:val="TextBody"/>
        <w:spacing w:before="240" w:after="283"/>
        <w:jc w:val="left"/>
        <w:rPr>
          <w:rFonts w:ascii="Times New Roman;Times;serif" w:hAnsi="Times New Roman;Times;serif"/>
          <w:sz w:val="17"/>
        </w:rPr>
      </w:pPr>
      <w:bookmarkStart w:id="11" w:name="109"/>
      <w:bookmarkEnd w:id="11"/>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12" w:name="110"/>
      <w:bookmarkEnd w:id="12"/>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September 8, 2004 the company filed suit in the District Court, City and County of Denver, Colorado, against X-Clearing Corporation, its transfer agent, referred to herein as X-Clearing. We alleged that X-Clearing was in breach of our October 2, 2001 transfer agent agreement (as amended September 21, 2004) with X-Clearing and asked for a declaratory judgment and to have certain records and documents returned to us so that we could pursue a transfer agency relationship with another transfer agent. Securing a new transfer agent is an important step in obtaining a listing of our shares on the TSX Venture Exchange.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a hearing held on September 22, 2004 X-Clearing argued that the transfer agency agreement had not been properly terminated, and the court made a preliminary determination consistent with X-Clearings position. Subsequent to the September 22, 2004 hearing the company actively sought a settlement with X-Clearing, however it was unable to do so.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March 2005 both X-Clearing and the company filed additional court documentation in respect of the matter and a hearing was set for March 18, 2005. Immediately prior to the hearing a settlement was negotiated whereby the company agreed to pay $200,000 to X-Clearing in exchange for all of its corporate records. The parties also exchanged various indemnity agreements. As at the date of this filing, the parties entered into a settlement agreement and completed a settlement. </w:t>
      </w:r>
    </w:p>
    <w:p>
      <w:pPr>
        <w:pStyle w:val="TextBody"/>
        <w:spacing w:before="240" w:after="283"/>
        <w:jc w:val="left"/>
        <w:rPr>
          <w:rFonts w:ascii="Times New Roman;Times;serif" w:hAnsi="Times New Roman;Times;serif"/>
          <w:sz w:val="17"/>
        </w:rPr>
      </w:pPr>
      <w:bookmarkStart w:id="13" w:name="111"/>
      <w:bookmarkEnd w:id="13"/>
      <w:r>
        <w:rPr>
          <w:rFonts w:ascii="Times New Roman;Times;serif" w:hAnsi="Times New Roman;Times;serif"/>
          <w:b/>
          <w:sz w:val="17"/>
        </w:rPr>
        <w:t>Item 2. Unregistered Sales of Equity Securities and Use of Proceeds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p>
      <w:pPr>
        <w:pStyle w:val="TextBody"/>
        <w:spacing w:before="240" w:after="283"/>
        <w:jc w:val="left"/>
        <w:rPr>
          <w:rFonts w:ascii="Times New Roman;Times;serif" w:hAnsi="Times New Roman;Times;serif"/>
          <w:sz w:val="17"/>
        </w:rPr>
      </w:pPr>
      <w:bookmarkStart w:id="14" w:name="112"/>
      <w:bookmarkEnd w:id="14"/>
      <w:r>
        <w:rPr>
          <w:rFonts w:ascii="Times New Roman;Times;serif" w:hAnsi="Times New Roman;Times;serif"/>
          <w:b/>
          <w:sz w:val="17"/>
        </w:rPr>
        <w:t>Item 3. Defaults Upon Senior Securities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 Applicable. </w:t>
      </w:r>
    </w:p>
    <w:p>
      <w:pPr>
        <w:pStyle w:val="TextBody"/>
        <w:spacing w:before="240" w:after="283"/>
        <w:jc w:val="left"/>
        <w:rPr>
          <w:rFonts w:ascii="Times New Roman;Times;serif" w:hAnsi="Times New Roman;Times;serif"/>
          <w:sz w:val="17"/>
        </w:rPr>
      </w:pPr>
      <w:bookmarkStart w:id="15" w:name="113"/>
      <w:bookmarkEnd w:id="15"/>
      <w:r>
        <w:rPr>
          <w:rFonts w:ascii="Times New Roman;Times;serif" w:hAnsi="Times New Roman;Times;serif"/>
          <w:b/>
          <w:sz w:val="17"/>
        </w:rPr>
        <w:t>Item 4. Submission of Matters to a Vote of Security Holders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 Applicable. </w:t>
      </w:r>
    </w:p>
    <w:p>
      <w:pPr>
        <w:pStyle w:val="TextBody"/>
        <w:spacing w:before="240" w:after="283"/>
        <w:jc w:val="left"/>
        <w:rPr>
          <w:rFonts w:ascii="Times New Roman;Times;serif" w:hAnsi="Times New Roman;Times;serif"/>
          <w:sz w:val="17"/>
        </w:rPr>
      </w:pPr>
      <w:bookmarkStart w:id="16" w:name="114"/>
      <w:bookmarkEnd w:id="16"/>
      <w:r>
        <w:rPr>
          <w:rFonts w:ascii="Times New Roman;Times;serif" w:hAnsi="Times New Roman;Times;serif"/>
          <w:b/>
          <w:sz w:val="17"/>
        </w:rPr>
        <w:t>Item 5. Other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 Applicable. </w:t>
      </w:r>
    </w:p>
    <w:p>
      <w:pPr>
        <w:pStyle w:val="TextBody"/>
        <w:jc w:val="center"/>
        <w:rPr>
          <w:rFonts w:ascii="Times New Roman;Times;serif" w:hAnsi="Times New Roman;Times;serif"/>
          <w:sz w:val="17"/>
        </w:rPr>
      </w:pPr>
      <w:r>
        <w:rPr>
          <w:rFonts w:ascii="Times New Roman;Times;serif" w:hAnsi="Times New Roman;Times;serif"/>
          <w:sz w:val="17"/>
        </w:rPr>
        <w:t xml:space="preserve">- 20 -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7" w:name="115"/>
      <w:bookmarkEnd w:id="17"/>
      <w:r>
        <w:rPr>
          <w:rFonts w:ascii="Times New Roman;Times;serif" w:hAnsi="Times New Roman;Times;serif"/>
          <w:b/>
          <w:sz w:val="17"/>
        </w:rPr>
        <w:t>Item 6. Exhibits and Reports on Form 8-K</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Exhibits</w:t>
            </w:r>
          </w:p>
        </w:tc>
      </w:tr>
    </w:tbl>
    <w:tbl>
      <w:tblPr>
        <w:tblW w:w="5000" w:type="pct"/>
        <w:jc w:val="left"/>
        <w:tblInd w:w="0" w:type="dxa"/>
        <w:tblCellMar>
          <w:top w:w="0" w:type="dxa"/>
          <w:left w:w="0" w:type="dxa"/>
          <w:bottom w:w="0" w:type="dxa"/>
          <w:right w:w="0" w:type="dxa"/>
        </w:tblCellMar>
      </w:tblPr>
      <w:tblGrid>
        <w:gridCol w:w="586"/>
        <w:gridCol w:w="445"/>
        <w:gridCol w:w="116"/>
        <w:gridCol w:w="9058"/>
      </w:tblGrid>
      <w:tr>
        <w:trPr/>
        <w:tc>
          <w:tcPr>
            <w:tcW w:w="586"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31.1</w:t>
            </w:r>
          </w:p>
        </w:tc>
        <w:tc>
          <w:tcPr>
            <w:tcW w:w="116" w:type="dxa"/>
            <w:tcBorders/>
            <w:shd w:fill="auto" w:val="clear"/>
          </w:tcPr>
          <w:p>
            <w:pPr>
              <w:pStyle w:val="TableContents"/>
              <w:spacing w:before="0" w:after="283"/>
              <w:rPr/>
            </w:pPr>
            <w:r>
              <w:rPr/>
              <w:t> </w:t>
            </w:r>
          </w:p>
        </w:tc>
        <w:tc>
          <w:tcPr>
            <w:tcW w:w="9058" w:type="dxa"/>
            <w:tcBorders/>
            <w:shd w:fill="auto" w:val="clear"/>
          </w:tcPr>
          <w:p>
            <w:pPr>
              <w:pStyle w:val="TableContents"/>
              <w:spacing w:before="0" w:after="283"/>
              <w:rPr/>
            </w:pPr>
            <w:r>
              <w:rPr/>
              <w:t>Certification of Chief Executive Officer Pursuant to Rule 13a-14(a) or 15d-14(a) of the Securities Exchange Act of 1933, as amended.</w:t>
            </w:r>
          </w:p>
        </w:tc>
      </w:tr>
      <w:tr>
        <w:trPr/>
        <w:tc>
          <w:tcPr>
            <w:tcW w:w="586" w:type="dxa"/>
            <w:tcBorders/>
            <w:shd w:fill="auto" w:val="clear"/>
            <w:vAlign w:val="center"/>
          </w:tcPr>
          <w:p>
            <w:pPr>
              <w:pStyle w:val="TableContents"/>
              <w:spacing w:before="0" w:after="283"/>
              <w:rPr/>
            </w:pPr>
            <w:r>
              <w:rPr/>
              <w:t> </w:t>
            </w:r>
          </w:p>
        </w:tc>
        <w:tc>
          <w:tcPr>
            <w:tcW w:w="9619" w:type="dxa"/>
            <w:gridSpan w:val="3"/>
            <w:tcBorders/>
            <w:shd w:fill="auto" w:val="clear"/>
          </w:tcPr>
          <w:p>
            <w:pPr>
              <w:pStyle w:val="TableContents"/>
              <w:spacing w:before="0" w:after="283"/>
              <w:rPr>
                <w:sz w:val="4"/>
                <w:szCs w:val="4"/>
              </w:rPr>
            </w:pPr>
            <w:r>
              <w:rPr>
                <w:sz w:val="4"/>
                <w:szCs w:val="4"/>
              </w:rPr>
            </w:r>
          </w:p>
        </w:tc>
      </w:tr>
      <w:tr>
        <w:trPr/>
        <w:tc>
          <w:tcPr>
            <w:tcW w:w="586"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31.2</w:t>
            </w:r>
          </w:p>
        </w:tc>
        <w:tc>
          <w:tcPr>
            <w:tcW w:w="116" w:type="dxa"/>
            <w:tcBorders/>
            <w:shd w:fill="auto" w:val="clear"/>
          </w:tcPr>
          <w:p>
            <w:pPr>
              <w:pStyle w:val="TableContents"/>
              <w:spacing w:before="0" w:after="283"/>
              <w:rPr/>
            </w:pPr>
            <w:r>
              <w:rPr/>
              <w:t> </w:t>
            </w:r>
          </w:p>
        </w:tc>
        <w:tc>
          <w:tcPr>
            <w:tcW w:w="9058" w:type="dxa"/>
            <w:tcBorders/>
            <w:shd w:fill="auto" w:val="clear"/>
          </w:tcPr>
          <w:p>
            <w:pPr>
              <w:pStyle w:val="TableContents"/>
              <w:spacing w:before="0" w:after="283"/>
              <w:rPr/>
            </w:pPr>
            <w:r>
              <w:rPr/>
              <w:t>Certification of Chief Financial Officer Pursuant to Rule 13a-14(a) or 15d-14(a) of the Securities Exchange Act of 1933, as amended.</w:t>
            </w:r>
          </w:p>
        </w:tc>
      </w:tr>
      <w:tr>
        <w:trPr/>
        <w:tc>
          <w:tcPr>
            <w:tcW w:w="586" w:type="dxa"/>
            <w:tcBorders/>
            <w:shd w:fill="auto" w:val="clear"/>
            <w:vAlign w:val="center"/>
          </w:tcPr>
          <w:p>
            <w:pPr>
              <w:pStyle w:val="TableContents"/>
              <w:spacing w:before="0" w:after="283"/>
              <w:rPr/>
            </w:pPr>
            <w:r>
              <w:rPr/>
              <w:t> </w:t>
            </w:r>
          </w:p>
        </w:tc>
        <w:tc>
          <w:tcPr>
            <w:tcW w:w="9619" w:type="dxa"/>
            <w:gridSpan w:val="3"/>
            <w:tcBorders/>
            <w:shd w:fill="auto" w:val="clear"/>
          </w:tcPr>
          <w:p>
            <w:pPr>
              <w:pStyle w:val="TableContents"/>
              <w:spacing w:before="0" w:after="283"/>
              <w:rPr>
                <w:sz w:val="4"/>
                <w:szCs w:val="4"/>
              </w:rPr>
            </w:pPr>
            <w:r>
              <w:rPr>
                <w:sz w:val="4"/>
                <w:szCs w:val="4"/>
              </w:rPr>
            </w:r>
          </w:p>
        </w:tc>
      </w:tr>
      <w:tr>
        <w:trPr/>
        <w:tc>
          <w:tcPr>
            <w:tcW w:w="586"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32.1</w:t>
            </w:r>
          </w:p>
        </w:tc>
        <w:tc>
          <w:tcPr>
            <w:tcW w:w="116" w:type="dxa"/>
            <w:tcBorders/>
            <w:shd w:fill="auto" w:val="clear"/>
          </w:tcPr>
          <w:p>
            <w:pPr>
              <w:pStyle w:val="TableContents"/>
              <w:spacing w:before="0" w:after="283"/>
              <w:rPr/>
            </w:pPr>
            <w:r>
              <w:rPr/>
              <w:t> </w:t>
            </w:r>
          </w:p>
        </w:tc>
        <w:tc>
          <w:tcPr>
            <w:tcW w:w="9058" w:type="dxa"/>
            <w:tcBorders/>
            <w:shd w:fill="auto" w:val="clear"/>
          </w:tcPr>
          <w:p>
            <w:pPr>
              <w:pStyle w:val="TableContents"/>
              <w:spacing w:before="0" w:after="283"/>
              <w:rPr/>
            </w:pPr>
            <w:r>
              <w:rPr/>
              <w:t>Certification Pursuant to 18 U.S.C. 1350 as adopted pursuant to Section 906 of the Sarbanes-Oxley Act of 2002.</w:t>
            </w:r>
          </w:p>
        </w:tc>
      </w:tr>
    </w:tbl>
    <w:p>
      <w:pPr>
        <w:pStyle w:val="TextBody"/>
        <w:spacing w:before="240" w:after="283"/>
        <w:jc w:val="left"/>
        <w:rPr>
          <w:rFonts w:ascii="Times New Roman;Times;serif" w:hAnsi="Times New Roman;Times;serif"/>
          <w:sz w:val="17"/>
        </w:rPr>
      </w:pPr>
      <w:bookmarkStart w:id="18" w:name="116"/>
      <w:bookmarkEnd w:id="18"/>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611"/>
        <w:gridCol w:w="424"/>
        <w:gridCol w:w="424"/>
        <w:gridCol w:w="3388"/>
        <w:gridCol w:w="1358"/>
      </w:tblGrid>
      <w:tr>
        <w:trPr/>
        <w:tc>
          <w:tcPr>
            <w:tcW w:w="4611"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3388" w:type="dxa"/>
            <w:tcBorders/>
            <w:shd w:fill="auto" w:val="clear"/>
            <w:vAlign w:val="center"/>
          </w:tcPr>
          <w:p>
            <w:pPr>
              <w:pStyle w:val="TableContents"/>
              <w:spacing w:before="0" w:after="283"/>
              <w:rPr/>
            </w:pPr>
            <w:r>
              <w:rPr/>
              <w:t> </w:t>
            </w:r>
          </w:p>
        </w:tc>
        <w:tc>
          <w:tcPr>
            <w:tcW w:w="1358" w:type="dxa"/>
            <w:tcBorders/>
            <w:shd w:fill="auto" w:val="clear"/>
            <w:vAlign w:val="center"/>
          </w:tcPr>
          <w:p>
            <w:pPr>
              <w:pStyle w:val="TableContents"/>
              <w:spacing w:before="0" w:after="283"/>
              <w:rPr/>
            </w:pPr>
            <w:r>
              <w:rPr/>
              <w:t> </w:t>
            </w:r>
          </w:p>
        </w:tc>
      </w:tr>
      <w:tr>
        <w:trPr/>
        <w:tc>
          <w:tcPr>
            <w:tcW w:w="4611" w:type="dxa"/>
            <w:tcBorders/>
            <w:shd w:fill="auto" w:val="clear"/>
          </w:tcPr>
          <w:p>
            <w:pPr>
              <w:pStyle w:val="TableContents"/>
              <w:spacing w:before="0" w:after="283"/>
              <w:jc w:val="left"/>
              <w:rPr/>
            </w:pPr>
            <w:r>
              <w:rPr/>
              <w:t>Date: August 19, 2005 </w:t>
            </w:r>
          </w:p>
        </w:tc>
        <w:tc>
          <w:tcPr>
            <w:tcW w:w="4236" w:type="dxa"/>
            <w:gridSpan w:val="3"/>
            <w:tcBorders/>
            <w:shd w:fill="auto" w:val="clear"/>
            <w:vAlign w:val="center"/>
          </w:tcPr>
          <w:p>
            <w:pPr>
              <w:pStyle w:val="TableContents"/>
              <w:spacing w:before="0" w:after="283"/>
              <w:jc w:val="left"/>
              <w:rPr/>
            </w:pPr>
            <w:r>
              <w:rPr/>
              <w:t>GENEMAX CORP.</w:t>
              <w:br/>
              <w:t> </w:t>
            </w:r>
          </w:p>
        </w:tc>
        <w:tc>
          <w:tcPr>
            <w:tcW w:w="1358" w:type="dxa"/>
            <w:tcBorders/>
            <w:shd w:fill="auto" w:val="clear"/>
            <w:vAlign w:val="center"/>
          </w:tcPr>
          <w:p>
            <w:pPr>
              <w:pStyle w:val="TableContents"/>
              <w:spacing w:before="0" w:after="283"/>
              <w:rPr/>
            </w:pPr>
            <w:r>
              <w:rPr/>
              <w:t> </w:t>
            </w:r>
          </w:p>
        </w:tc>
      </w:tr>
      <w:tr>
        <w:trPr/>
        <w:tc>
          <w:tcPr>
            <w:tcW w:w="4611" w:type="dxa"/>
            <w:tcBorders/>
            <w:shd w:fill="auto" w:val="clear"/>
            <w:vAlign w:val="center"/>
          </w:tcPr>
          <w:p>
            <w:pPr>
              <w:pStyle w:val="TableContents"/>
              <w:spacing w:before="0" w:after="283"/>
              <w:jc w:val="left"/>
              <w:rPr/>
            </w:pPr>
            <w:r>
              <w:rPr/>
              <w:t> </w:t>
            </w:r>
          </w:p>
        </w:tc>
        <w:tc>
          <w:tcPr>
            <w:tcW w:w="4236" w:type="dxa"/>
            <w:gridSpan w:val="3"/>
            <w:tcBorders>
              <w:bottom w:val="single" w:sz="2" w:space="0" w:color="000000"/>
            </w:tcBorders>
            <w:shd w:fill="auto" w:val="clear"/>
            <w:tcMar>
              <w:bottom w:w="28" w:type="dxa"/>
            </w:tcMar>
            <w:vAlign w:val="center"/>
          </w:tcPr>
          <w:p>
            <w:pPr>
              <w:pStyle w:val="TableContents"/>
              <w:spacing w:before="0" w:after="283"/>
              <w:jc w:val="left"/>
              <w:rPr/>
            </w:pPr>
            <w:r>
              <w:rPr/>
              <w:t>/s/ Konstantine Sarafis  </w:t>
            </w:r>
          </w:p>
        </w:tc>
        <w:tc>
          <w:tcPr>
            <w:tcW w:w="1358" w:type="dxa"/>
            <w:tcBorders/>
            <w:shd w:fill="auto" w:val="clear"/>
            <w:vAlign w:val="center"/>
          </w:tcPr>
          <w:p>
            <w:pPr>
              <w:pStyle w:val="TableContents"/>
              <w:spacing w:before="0" w:after="283"/>
              <w:rPr/>
            </w:pPr>
            <w:r>
              <w:rPr/>
              <w:t> </w:t>
            </w:r>
          </w:p>
        </w:tc>
      </w:tr>
      <w:tr>
        <w:trPr/>
        <w:tc>
          <w:tcPr>
            <w:tcW w:w="4611" w:type="dxa"/>
            <w:tcBorders/>
            <w:shd w:fill="auto" w:val="clear"/>
            <w:vAlign w:val="center"/>
          </w:tcPr>
          <w:p>
            <w:pPr>
              <w:pStyle w:val="TableContents"/>
              <w:spacing w:before="0" w:after="283"/>
              <w:jc w:val="left"/>
              <w:rPr/>
            </w:pPr>
            <w:r>
              <w:rPr/>
              <w:t> </w:t>
            </w:r>
          </w:p>
        </w:tc>
        <w:tc>
          <w:tcPr>
            <w:tcW w:w="4236" w:type="dxa"/>
            <w:gridSpan w:val="3"/>
            <w:tcBorders/>
            <w:shd w:fill="auto" w:val="clear"/>
            <w:vAlign w:val="center"/>
          </w:tcPr>
          <w:p>
            <w:pPr>
              <w:pStyle w:val="TableContents"/>
              <w:spacing w:before="0" w:after="283"/>
              <w:jc w:val="left"/>
              <w:rPr/>
            </w:pPr>
            <w:r>
              <w:rPr/>
              <w:t>Konstantine Sarafis, Chief Executive Officer </w:t>
            </w:r>
          </w:p>
        </w:tc>
        <w:tc>
          <w:tcPr>
            <w:tcW w:w="1358"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551"/>
        <w:gridCol w:w="375"/>
        <w:gridCol w:w="314"/>
        <w:gridCol w:w="3506"/>
        <w:gridCol w:w="1459"/>
      </w:tblGrid>
      <w:tr>
        <w:trPr/>
        <w:tc>
          <w:tcPr>
            <w:tcW w:w="4551"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3506" w:type="dxa"/>
            <w:tcBorders/>
            <w:shd w:fill="auto" w:val="clear"/>
            <w:vAlign w:val="center"/>
          </w:tcPr>
          <w:p>
            <w:pPr>
              <w:pStyle w:val="TableContents"/>
              <w:spacing w:before="0" w:after="283"/>
              <w:rPr/>
            </w:pPr>
            <w:r>
              <w:rPr/>
              <w:t>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bottom w:val="single" w:sz="2" w:space="0" w:color="000000"/>
            </w:tcBorders>
            <w:shd w:fill="auto" w:val="clear"/>
            <w:tcMar>
              <w:bottom w:w="28" w:type="dxa"/>
            </w:tcMar>
            <w:vAlign w:val="center"/>
          </w:tcPr>
          <w:p>
            <w:pPr>
              <w:pStyle w:val="TableContents"/>
              <w:spacing w:before="0" w:after="283"/>
              <w:jc w:val="left"/>
              <w:rPr/>
            </w:pPr>
            <w:r>
              <w:rPr/>
              <w:t>/s/ Edward Farrauto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Edward Farrauto, Chief Financial Officer </w:t>
            </w:r>
          </w:p>
        </w:tc>
        <w:tc>
          <w:tcPr>
            <w:tcW w:w="145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- 21 -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9" w:name="117"/>
      <w:bookmarkEnd w:id="19"/>
      <w:r>
        <w:rPr>
          <w:rFonts w:ascii="Times New Roman;Times;serif" w:hAnsi="Times New Roman;Times;serif"/>
          <w:b/>
          <w:sz w:val="17"/>
        </w:rPr>
        <w:t>Exhibit Index</w:t>
      </w:r>
      <w:r>
        <w:rPr>
          <w:rFonts w:ascii="Times New Roman;Times;serif" w:hAnsi="Times New Roman;Times;serif"/>
          <w:sz w:val="17"/>
        </w:rPr>
        <w:t xml:space="preserve"> </w:t>
      </w:r>
    </w:p>
    <w:p>
      <w:pPr>
        <w:pStyle w:val="TextBody"/>
        <w:spacing w:before="360" w:after="283"/>
        <w:jc w:val="left"/>
        <w:rPr>
          <w:rFonts w:ascii="Times New Roman;Times;serif" w:hAnsi="Times New Roman;Times;serif"/>
          <w:sz w:val="17"/>
        </w:rPr>
      </w:pPr>
      <w:r>
        <w:rPr>
          <w:rFonts w:ascii="Times New Roman;Times;serif" w:hAnsi="Times New Roman;Times;serif"/>
          <w:sz w:val="17"/>
        </w:rPr>
        <w:t xml:space="preserve">Exhibits </w:t>
      </w:r>
    </w:p>
    <w:tbl>
      <w:tblPr>
        <w:tblW w:w="5000" w:type="pct"/>
        <w:jc w:val="left"/>
        <w:tblInd w:w="0" w:type="dxa"/>
        <w:tblCellMar>
          <w:top w:w="0" w:type="dxa"/>
          <w:left w:w="0" w:type="dxa"/>
          <w:bottom w:w="0" w:type="dxa"/>
          <w:right w:w="0" w:type="dxa"/>
        </w:tblCellMar>
      </w:tblPr>
      <w:tblGrid>
        <w:gridCol w:w="611"/>
        <w:gridCol w:w="102"/>
        <w:gridCol w:w="9492"/>
      </w:tblGrid>
      <w:tr>
        <w:trPr/>
        <w:tc>
          <w:tcPr>
            <w:tcW w:w="611" w:type="dxa"/>
            <w:tcBorders/>
            <w:shd w:fill="auto" w:val="clear"/>
          </w:tcPr>
          <w:p>
            <w:pPr>
              <w:pStyle w:val="TableContents"/>
              <w:spacing w:before="0" w:after="283"/>
              <w:jc w:val="left"/>
              <w:rPr/>
            </w:pPr>
            <w:r>
              <w:rPr/>
              <w:t>31.1</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rPr/>
            </w:pPr>
            <w:r>
              <w:rPr/>
              <w:t>Certification of Chief Executive Officer Pursuant to Rule 13a-14(a) or 15d-14(a) of the Securities Exchange Act of 1933, as amended.</w:t>
            </w:r>
          </w:p>
        </w:tc>
      </w:tr>
      <w:tr>
        <w:trPr/>
        <w:tc>
          <w:tcPr>
            <w:tcW w:w="611" w:type="dxa"/>
            <w:tcBorders/>
            <w:shd w:fill="auto" w:val="clear"/>
            <w:vAlign w:val="center"/>
          </w:tcPr>
          <w:p>
            <w:pPr>
              <w:pStyle w:val="TableContents"/>
              <w:spacing w:before="0" w:after="283"/>
              <w:rPr/>
            </w:pPr>
            <w:r>
              <w:rPr/>
              <w:t> </w:t>
            </w:r>
          </w:p>
        </w:tc>
        <w:tc>
          <w:tcPr>
            <w:tcW w:w="9594" w:type="dxa"/>
            <w:gridSpan w:val="2"/>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jc w:val="left"/>
              <w:rPr/>
            </w:pPr>
            <w:r>
              <w:rPr/>
              <w:t>31.2</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rPr/>
            </w:pPr>
            <w:r>
              <w:rPr/>
              <w:t>Certification of Chief Financial Officer Pursuant to Rule 13a-14(a) or 15d-14(a) of the Securities Exchange Act of 1933, as amended.</w:t>
            </w:r>
          </w:p>
        </w:tc>
      </w:tr>
      <w:tr>
        <w:trPr/>
        <w:tc>
          <w:tcPr>
            <w:tcW w:w="611" w:type="dxa"/>
            <w:tcBorders/>
            <w:shd w:fill="auto" w:val="clear"/>
            <w:vAlign w:val="center"/>
          </w:tcPr>
          <w:p>
            <w:pPr>
              <w:pStyle w:val="TableContents"/>
              <w:spacing w:before="0" w:after="283"/>
              <w:rPr/>
            </w:pPr>
            <w:r>
              <w:rPr/>
              <w:t> </w:t>
            </w:r>
          </w:p>
        </w:tc>
        <w:tc>
          <w:tcPr>
            <w:tcW w:w="9594" w:type="dxa"/>
            <w:gridSpan w:val="2"/>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jc w:val="left"/>
              <w:rPr/>
            </w:pPr>
            <w:r>
              <w:rPr/>
              <w:t>32.1</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rPr/>
            </w:pPr>
            <w:r>
              <w:rPr/>
              <w:t>Certification Pursuant to 18 U.S.C. 1350 as adopted pursuant to Section 906 of the Sarbanes-Oxley Act of 2002.</w:t>
            </w:r>
          </w:p>
        </w:tc>
      </w:tr>
    </w:tbl>
    <w:p>
      <w:pPr>
        <w:pStyle w:val="TextBody"/>
        <w:jc w:val="center"/>
        <w:rPr/>
      </w:pPr>
      <w:r>
        <w:rPr/>
        <w:t xml:space="preserve">  </w:t>
      </w:r>
      <w:r>
        <w:br w:type="page"/>
      </w:r>
    </w:p>
    <w:p>
      <w:pPr>
        <w:pStyle w:val="Heading5"/>
        <w:jc w:val="left"/>
        <w:rPr/>
      </w:pPr>
      <w:bookmarkStart w:id="20" w:name="d28101exv31w1.htm"/>
      <w:bookmarkStart w:id="21" w:name="ksd28101exv31w1"/>
      <w:bookmarkEnd w:id="20"/>
      <w:bookmarkEnd w:id="21"/>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PURSUANT TO</w:t>
        <w:br/>
        <w:t>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Konstantine Sarafis, certify that: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have reviewed this quarterly report on Form 10-QSB of Genemax Corp.;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3. The registrants other certifying officers and I are responsible for establishing and maintaining disclosure controls and procedures (as defined in Exchange Act Rules 13a-14 and 15d-14) for the registrant and we have: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 evaluated the effectiveness of the registrants disclosure control and procedures as of a date within 90 days prior to the filing date of this quarterly report (the Evaluation Date) 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 presented in this quarterly report our conclusions about the effectiveness of the disclosure controls and procedures based on our evaluation as of the Evaluation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4. The registrants other certifying officers and I have disclosed, based on our most recent evaluation, to the registrants auditors and the audit committee of registrants board of directors (or persons performing the equivalent function):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 any fraud, whether or not material, that involves management or other employees who have a significant role in the registrants internal controls; 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5. The registrants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 </w:t>
      </w:r>
    </w:p>
    <w:tbl>
      <w:tblPr>
        <w:tblW w:w="5000" w:type="pct"/>
        <w:jc w:val="left"/>
        <w:tblInd w:w="0" w:type="dxa"/>
        <w:tblCellMar>
          <w:top w:w="0" w:type="dxa"/>
          <w:left w:w="0" w:type="dxa"/>
          <w:bottom w:w="0" w:type="dxa"/>
          <w:right w:w="0" w:type="dxa"/>
        </w:tblCellMar>
      </w:tblPr>
      <w:tblGrid>
        <w:gridCol w:w="4816"/>
        <w:gridCol w:w="716"/>
        <w:gridCol w:w="278"/>
        <w:gridCol w:w="3096"/>
        <w:gridCol w:w="1299"/>
      </w:tblGrid>
      <w:tr>
        <w:trPr/>
        <w:tc>
          <w:tcPr>
            <w:tcW w:w="4816"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3096" w:type="dxa"/>
            <w:tcBorders/>
            <w:shd w:fill="auto" w:val="clear"/>
            <w:vAlign w:val="center"/>
          </w:tcPr>
          <w:p>
            <w:pPr>
              <w:pStyle w:val="TableContents"/>
              <w:spacing w:before="0" w:after="283"/>
              <w:rPr/>
            </w:pPr>
            <w:r>
              <w:rPr/>
              <w:t> </w:t>
            </w:r>
          </w:p>
        </w:tc>
        <w:tc>
          <w:tcPr>
            <w:tcW w:w="1299" w:type="dxa"/>
            <w:tcBorders/>
            <w:shd w:fill="auto" w:val="clear"/>
            <w:vAlign w:val="center"/>
          </w:tcPr>
          <w:p>
            <w:pPr>
              <w:pStyle w:val="TableContents"/>
              <w:spacing w:before="0" w:after="283"/>
              <w:rPr/>
            </w:pPr>
            <w:r>
              <w:rPr/>
              <w:t> </w:t>
            </w:r>
          </w:p>
        </w:tc>
      </w:tr>
      <w:tr>
        <w:trPr/>
        <w:tc>
          <w:tcPr>
            <w:tcW w:w="4816" w:type="dxa"/>
            <w:tcBorders/>
            <w:shd w:fill="auto" w:val="clea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299" w:type="dxa"/>
            <w:tcBorders/>
            <w:shd w:fill="auto" w:val="clear"/>
            <w:vAlign w:val="center"/>
          </w:tcPr>
          <w:p>
            <w:pPr>
              <w:pStyle w:val="TableContents"/>
              <w:spacing w:before="0" w:after="283"/>
              <w:rPr/>
            </w:pPr>
            <w:r>
              <w:rPr/>
              <w:t> </w:t>
            </w:r>
          </w:p>
        </w:tc>
      </w:tr>
      <w:tr>
        <w:trPr/>
        <w:tc>
          <w:tcPr>
            <w:tcW w:w="4816" w:type="dxa"/>
            <w:tcBorders/>
            <w:shd w:fill="auto" w:val="clear"/>
            <w:vAlign w:val="center"/>
          </w:tcPr>
          <w:p>
            <w:pPr>
              <w:pStyle w:val="TableContents"/>
              <w:spacing w:before="0" w:after="283"/>
              <w:jc w:val="left"/>
              <w:rPr/>
            </w:pPr>
            <w:r>
              <w:rPr/>
              <w:t>       </w:t>
            </w:r>
            <w:r>
              <w:rPr/>
              <w:t>Date: August 19, 2005 </w:t>
            </w:r>
          </w:p>
        </w:tc>
        <w:tc>
          <w:tcPr>
            <w:tcW w:w="4090" w:type="dxa"/>
            <w:gridSpan w:val="3"/>
            <w:tcBorders>
              <w:bottom w:val="single" w:sz="2" w:space="0" w:color="000000"/>
            </w:tcBorders>
            <w:shd w:fill="auto" w:val="clear"/>
            <w:tcMar>
              <w:bottom w:w="28" w:type="dxa"/>
            </w:tcMar>
            <w:vAlign w:val="center"/>
          </w:tcPr>
          <w:p>
            <w:pPr>
              <w:pStyle w:val="TableContents"/>
              <w:spacing w:before="0" w:after="283"/>
              <w:jc w:val="left"/>
              <w:rPr/>
            </w:pPr>
            <w:r>
              <w:rPr/>
              <w:t>/s/ Konstantine Sarafis  </w:t>
            </w:r>
          </w:p>
        </w:tc>
        <w:tc>
          <w:tcPr>
            <w:tcW w:w="1299" w:type="dxa"/>
            <w:tcBorders/>
            <w:shd w:fill="auto" w:val="clear"/>
            <w:vAlign w:val="center"/>
          </w:tcPr>
          <w:p>
            <w:pPr>
              <w:pStyle w:val="TableContents"/>
              <w:spacing w:before="0" w:after="283"/>
              <w:rPr/>
            </w:pPr>
            <w:r>
              <w:rPr/>
              <w:t> </w:t>
            </w:r>
          </w:p>
        </w:tc>
      </w:tr>
      <w:tr>
        <w:trPr/>
        <w:tc>
          <w:tcPr>
            <w:tcW w:w="4816"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Konstantine Sarafis, Chief Executive Officer </w:t>
            </w:r>
          </w:p>
        </w:tc>
        <w:tc>
          <w:tcPr>
            <w:tcW w:w="1299" w:type="dxa"/>
            <w:tcBorders/>
            <w:shd w:fill="auto" w:val="clear"/>
            <w:vAlign w:val="center"/>
          </w:tcPr>
          <w:p>
            <w:pPr>
              <w:pStyle w:val="TableContents"/>
              <w:spacing w:before="0" w:after="283"/>
              <w:rPr/>
            </w:pPr>
            <w:r>
              <w:rPr/>
              <w:t> </w:t>
            </w:r>
          </w:p>
        </w:tc>
      </w:tr>
      <w:tr>
        <w:trPr/>
        <w:tc>
          <w:tcPr>
            <w:tcW w:w="4816" w:type="dxa"/>
            <w:tcBorders/>
            <w:shd w:fill="auto" w:val="clear"/>
            <w:vAlign w:val="center"/>
          </w:tcPr>
          <w:p>
            <w:pPr>
              <w:pStyle w:val="TableContents"/>
              <w:spacing w:before="0" w:after="283"/>
              <w:jc w:val="left"/>
              <w:rPr/>
            </w:pPr>
            <w:r>
              <w:rPr/>
              <w:t> </w:t>
            </w:r>
          </w:p>
        </w:tc>
        <w:tc>
          <w:tcPr>
            <w:tcW w:w="4090" w:type="dxa"/>
            <w:gridSpan w:val="3"/>
            <w:tcBorders/>
            <w:shd w:fill="auto" w:val="clear"/>
            <w:vAlign w:val="center"/>
          </w:tcPr>
          <w:p>
            <w:pPr>
              <w:pStyle w:val="TableContents"/>
              <w:spacing w:before="0" w:after="283"/>
              <w:jc w:val="left"/>
              <w:rPr/>
            </w:pPr>
            <w:r>
              <w:rPr/>
              <w:t> </w:t>
            </w:r>
          </w:p>
        </w:tc>
        <w:tc>
          <w:tcPr>
            <w:tcW w:w="129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22" w:name="d28101exv31w2.htm"/>
      <w:bookmarkStart w:id="23" w:name="ksd28101exv31w2"/>
      <w:bookmarkEnd w:id="22"/>
      <w:bookmarkEnd w:id="2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PURSUANT TO</w:t>
        <w:br/>
        <w:t>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Edward Farrauto, certify that: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have reviewed this quarterly report on Form 10-QSB of Genemax Corp.;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3. The registrants other certifying officers and I are responsible for establishing and maintaining disclosure controls and procedures (as defined in Exchange Act Rules 13a-14 and 15d-14) for the registrant and we have: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 evaluated the effectiveness of the registrants disclosure control and procedures as of a date within 90 days prior to the filing date of this quarterly report (the Evaluation Date) 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 presented in this quarterly report our conclusions about the effectiveness of the disclosure controls and procedures based on our evaluation as of the Evaluation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4. The registrants other certifying officers and I have disclosed, based on our most recent evaluation, to the registrants auditors and the audit committee of registrants board of directors (or persons performing the equivalent function):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 any fraud, whether or not material, that involves management or other employees who have a significant role in the registrants internal controls; 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5. The registrants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 </w:t>
      </w:r>
    </w:p>
    <w:tbl>
      <w:tblPr>
        <w:tblW w:w="5000" w:type="pct"/>
        <w:jc w:val="left"/>
        <w:tblInd w:w="0" w:type="dxa"/>
        <w:tblCellMar>
          <w:top w:w="0" w:type="dxa"/>
          <w:left w:w="0" w:type="dxa"/>
          <w:bottom w:w="0" w:type="dxa"/>
          <w:right w:w="0" w:type="dxa"/>
        </w:tblCellMar>
      </w:tblPr>
      <w:tblGrid>
        <w:gridCol w:w="4902"/>
        <w:gridCol w:w="351"/>
        <w:gridCol w:w="294"/>
        <w:gridCol w:w="3289"/>
        <w:gridCol w:w="1369"/>
      </w:tblGrid>
      <w:tr>
        <w:trPr/>
        <w:tc>
          <w:tcPr>
            <w:tcW w:w="490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3289" w:type="dxa"/>
            <w:tcBorders/>
            <w:shd w:fill="auto" w:val="clear"/>
            <w:vAlign w:val="center"/>
          </w:tcPr>
          <w:p>
            <w:pPr>
              <w:pStyle w:val="TableContents"/>
              <w:spacing w:before="0" w:after="283"/>
              <w:rPr/>
            </w:pPr>
            <w:r>
              <w:rPr/>
              <w:t> </w:t>
            </w:r>
          </w:p>
        </w:tc>
        <w:tc>
          <w:tcPr>
            <w:tcW w:w="1369" w:type="dxa"/>
            <w:tcBorders/>
            <w:shd w:fill="auto" w:val="clear"/>
            <w:vAlign w:val="center"/>
          </w:tcPr>
          <w:p>
            <w:pPr>
              <w:pStyle w:val="TableContents"/>
              <w:spacing w:before="0" w:after="283"/>
              <w:rPr/>
            </w:pPr>
            <w:r>
              <w:rPr/>
              <w:t> </w:t>
            </w:r>
          </w:p>
        </w:tc>
      </w:tr>
      <w:tr>
        <w:trPr/>
        <w:tc>
          <w:tcPr>
            <w:tcW w:w="4902" w:type="dxa"/>
            <w:tcBorders/>
            <w:shd w:fill="auto" w:val="clear"/>
          </w:tcPr>
          <w:p>
            <w:pPr>
              <w:pStyle w:val="TableContents"/>
              <w:spacing w:before="0" w:after="283"/>
              <w:jc w:val="left"/>
              <w:rPr/>
            </w:pPr>
            <w:r>
              <w:rPr/>
              <w:t> </w:t>
            </w:r>
          </w:p>
        </w:tc>
        <w:tc>
          <w:tcPr>
            <w:tcW w:w="3934" w:type="dxa"/>
            <w:gridSpan w:val="3"/>
            <w:tcBorders/>
            <w:shd w:fill="auto" w:val="clear"/>
            <w:vAlign w:val="center"/>
          </w:tcPr>
          <w:p>
            <w:pPr>
              <w:pStyle w:val="TableContents"/>
              <w:spacing w:before="0" w:after="283"/>
              <w:jc w:val="left"/>
              <w:rPr/>
            </w:pPr>
            <w:r>
              <w:rPr/>
              <w:t> </w:t>
            </w:r>
          </w:p>
        </w:tc>
        <w:tc>
          <w:tcPr>
            <w:tcW w:w="1369" w:type="dxa"/>
            <w:tcBorders/>
            <w:shd w:fill="auto" w:val="clear"/>
            <w:vAlign w:val="center"/>
          </w:tcPr>
          <w:p>
            <w:pPr>
              <w:pStyle w:val="TableContents"/>
              <w:spacing w:before="0" w:after="283"/>
              <w:rPr/>
            </w:pPr>
            <w:r>
              <w:rPr/>
              <w:t> </w:t>
            </w:r>
          </w:p>
        </w:tc>
      </w:tr>
      <w:tr>
        <w:trPr/>
        <w:tc>
          <w:tcPr>
            <w:tcW w:w="4902" w:type="dxa"/>
            <w:tcBorders/>
            <w:shd w:fill="auto" w:val="clear"/>
            <w:vAlign w:val="center"/>
          </w:tcPr>
          <w:p>
            <w:pPr>
              <w:pStyle w:val="TableContents"/>
              <w:spacing w:before="0" w:after="283"/>
              <w:jc w:val="left"/>
              <w:rPr/>
            </w:pPr>
            <w:r>
              <w:rPr/>
              <w:t>      </w:t>
            </w:r>
            <w:r>
              <w:rPr/>
              <w:t>Date: August 19, 2005 </w:t>
            </w:r>
          </w:p>
        </w:tc>
        <w:tc>
          <w:tcPr>
            <w:tcW w:w="3934" w:type="dxa"/>
            <w:gridSpan w:val="3"/>
            <w:tcBorders>
              <w:bottom w:val="single" w:sz="2" w:space="0" w:color="000000"/>
            </w:tcBorders>
            <w:shd w:fill="auto" w:val="clear"/>
            <w:tcMar>
              <w:bottom w:w="28" w:type="dxa"/>
            </w:tcMar>
            <w:vAlign w:val="center"/>
          </w:tcPr>
          <w:p>
            <w:pPr>
              <w:pStyle w:val="TableContents"/>
              <w:spacing w:before="0" w:after="283"/>
              <w:jc w:val="left"/>
              <w:rPr/>
            </w:pPr>
            <w:r>
              <w:rPr/>
              <w:t>/s/ Edward Farrauto  </w:t>
            </w:r>
          </w:p>
        </w:tc>
        <w:tc>
          <w:tcPr>
            <w:tcW w:w="1369" w:type="dxa"/>
            <w:tcBorders/>
            <w:shd w:fill="auto" w:val="clear"/>
            <w:vAlign w:val="center"/>
          </w:tcPr>
          <w:p>
            <w:pPr>
              <w:pStyle w:val="TableContents"/>
              <w:spacing w:before="0" w:after="283"/>
              <w:rPr/>
            </w:pPr>
            <w:r>
              <w:rPr/>
              <w:t> </w:t>
            </w:r>
          </w:p>
        </w:tc>
      </w:tr>
      <w:tr>
        <w:trPr/>
        <w:tc>
          <w:tcPr>
            <w:tcW w:w="4902" w:type="dxa"/>
            <w:tcBorders/>
            <w:shd w:fill="auto" w:val="clear"/>
            <w:vAlign w:val="center"/>
          </w:tcPr>
          <w:p>
            <w:pPr>
              <w:pStyle w:val="TableContents"/>
              <w:spacing w:before="0" w:after="283"/>
              <w:jc w:val="left"/>
              <w:rPr/>
            </w:pPr>
            <w:r>
              <w:rPr/>
              <w:t> </w:t>
            </w:r>
          </w:p>
        </w:tc>
        <w:tc>
          <w:tcPr>
            <w:tcW w:w="3934" w:type="dxa"/>
            <w:gridSpan w:val="3"/>
            <w:tcBorders/>
            <w:shd w:fill="auto" w:val="clear"/>
            <w:vAlign w:val="center"/>
          </w:tcPr>
          <w:p>
            <w:pPr>
              <w:pStyle w:val="TableContents"/>
              <w:spacing w:before="0" w:after="283"/>
              <w:jc w:val="left"/>
              <w:rPr/>
            </w:pPr>
            <w:r>
              <w:rPr/>
              <w:t>Edward Farrauto, Chief Financial Officer </w:t>
            </w:r>
          </w:p>
        </w:tc>
        <w:tc>
          <w:tcPr>
            <w:tcW w:w="1369" w:type="dxa"/>
            <w:tcBorders/>
            <w:shd w:fill="auto" w:val="clear"/>
            <w:vAlign w:val="center"/>
          </w:tcPr>
          <w:p>
            <w:pPr>
              <w:pStyle w:val="TableContents"/>
              <w:spacing w:before="0" w:after="283"/>
              <w:rPr/>
            </w:pPr>
            <w:r>
              <w:rPr/>
              <w:t> </w:t>
            </w:r>
          </w:p>
        </w:tc>
      </w:tr>
      <w:tr>
        <w:trPr/>
        <w:tc>
          <w:tcPr>
            <w:tcW w:w="4902" w:type="dxa"/>
            <w:tcBorders/>
            <w:shd w:fill="auto" w:val="clear"/>
            <w:vAlign w:val="center"/>
          </w:tcPr>
          <w:p>
            <w:pPr>
              <w:pStyle w:val="TableContents"/>
              <w:spacing w:before="0" w:after="283"/>
              <w:jc w:val="left"/>
              <w:rPr/>
            </w:pPr>
            <w:r>
              <w:rPr/>
              <w:t> </w:t>
            </w:r>
          </w:p>
        </w:tc>
        <w:tc>
          <w:tcPr>
            <w:tcW w:w="3934" w:type="dxa"/>
            <w:gridSpan w:val="3"/>
            <w:tcBorders/>
            <w:shd w:fill="auto" w:val="clear"/>
            <w:vAlign w:val="center"/>
          </w:tcPr>
          <w:p>
            <w:pPr>
              <w:pStyle w:val="TableContents"/>
              <w:spacing w:before="0" w:after="283"/>
              <w:jc w:val="left"/>
              <w:rPr/>
            </w:pPr>
            <w:r>
              <w:rPr/>
              <w:t> </w:t>
            </w:r>
          </w:p>
        </w:tc>
        <w:tc>
          <w:tcPr>
            <w:tcW w:w="13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24" w:name="d28101exv32w1.htm"/>
      <w:bookmarkStart w:id="25" w:name="ksd28101exv32w1"/>
      <w:bookmarkEnd w:id="24"/>
      <w:bookmarkEnd w:id="25"/>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CERTIFICATIONS PURSUANT TO SECURITIES EXCHANGE ACT OF 1934</w:t>
        <w:br/>
        <w:t>RULE 13a-14(b) OR 15d-14(b) AND</w:t>
        <w:br/>
        <w:t>18 U.S.C. SECTION 1350,</w:t>
        <w:br/>
        <w:t>AS ADOPTED PURSUANT TO</w:t>
        <w:br/>
        <w:t>SECTION 906 OF THE SARBANES-OXLEY ACT OF 2002</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connection with the quarterly report of GeneMax Corp. (the company) on Form 10-QSB for the quarter ended June 30, 2005, as filed with the Securities and Exchange Commission on the date hereof (the Report), Konstantine Sarafis, Chief Executive Officer and Edward Farrauto, Chief Financial Officer of the company, each certifies for the purpose of complying with Rule 13a-14(b) or Rule 15d-14(b) of the Securities Exchange Act of 1934 (the Exchange Act) and Section 1350 of Chapter 63 of Title 18 of the United States Code, that: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Report fully complies with the requirements of Section 13(a) or 15(d) of the Exchange Act;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tbl>
      <w:tblPr>
        <w:tblW w:w="5000" w:type="pct"/>
        <w:jc w:val="left"/>
        <w:tblInd w:w="0" w:type="dxa"/>
        <w:tblCellMar>
          <w:top w:w="0" w:type="dxa"/>
          <w:left w:w="0" w:type="dxa"/>
          <w:bottom w:w="0" w:type="dxa"/>
          <w:right w:w="0" w:type="dxa"/>
        </w:tblCellMar>
      </w:tblPr>
      <w:tblGrid>
        <w:gridCol w:w="4617"/>
        <w:gridCol w:w="731"/>
        <w:gridCol w:w="285"/>
        <w:gridCol w:w="3220"/>
        <w:gridCol w:w="1352"/>
      </w:tblGrid>
      <w:tr>
        <w:trPr/>
        <w:tc>
          <w:tcPr>
            <w:tcW w:w="4617" w:type="dxa"/>
            <w:tcBorders/>
            <w:shd w:fill="auto" w:val="clear"/>
            <w:vAlign w:val="center"/>
          </w:tcPr>
          <w:p>
            <w:pPr>
              <w:pStyle w:val="TableContents"/>
              <w:spacing w:before="0" w:after="283"/>
              <w:rPr/>
            </w:pPr>
            <w:r>
              <w:rPr/>
              <w:t> </w:t>
            </w:r>
          </w:p>
        </w:tc>
        <w:tc>
          <w:tcPr>
            <w:tcW w:w="731"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3220"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rPr/>
            </w:pPr>
            <w:r>
              <w:rPr/>
              <w:t> </w:t>
            </w:r>
          </w:p>
        </w:tc>
      </w:tr>
      <w:tr>
        <w:trPr/>
        <w:tc>
          <w:tcPr>
            <w:tcW w:w="4617" w:type="dxa"/>
            <w:tcBorders/>
            <w:shd w:fill="auto" w:val="clear"/>
          </w:tcPr>
          <w:p>
            <w:pPr>
              <w:pStyle w:val="TableContents"/>
              <w:spacing w:before="0" w:after="283"/>
              <w:jc w:val="left"/>
              <w:rPr/>
            </w:pPr>
            <w:r>
              <w:rPr/>
              <w:t> </w:t>
            </w:r>
          </w:p>
        </w:tc>
        <w:tc>
          <w:tcPr>
            <w:tcW w:w="4236" w:type="dxa"/>
            <w:gridSpan w:val="3"/>
            <w:tcBorders/>
            <w:shd w:fill="auto" w:val="clear"/>
            <w:vAlign w:val="center"/>
          </w:tcPr>
          <w:p>
            <w:pPr>
              <w:pStyle w:val="TableContents"/>
              <w:spacing w:before="0" w:after="283"/>
              <w:jc w:val="left"/>
              <w:rPr/>
            </w:pPr>
            <w:r>
              <w:rPr/>
              <w:t> </w:t>
            </w:r>
          </w:p>
        </w:tc>
        <w:tc>
          <w:tcPr>
            <w:tcW w:w="1352" w:type="dxa"/>
            <w:tcBorders/>
            <w:shd w:fill="auto" w:val="clear"/>
            <w:vAlign w:val="center"/>
          </w:tcPr>
          <w:p>
            <w:pPr>
              <w:pStyle w:val="TableContents"/>
              <w:spacing w:before="0" w:after="283"/>
              <w:rPr/>
            </w:pPr>
            <w:r>
              <w:rPr/>
              <w:t> </w:t>
            </w:r>
          </w:p>
        </w:tc>
      </w:tr>
      <w:tr>
        <w:trPr/>
        <w:tc>
          <w:tcPr>
            <w:tcW w:w="4617" w:type="dxa"/>
            <w:tcBorders/>
            <w:shd w:fill="auto" w:val="clear"/>
            <w:vAlign w:val="center"/>
          </w:tcPr>
          <w:p>
            <w:pPr>
              <w:pStyle w:val="TableContents"/>
              <w:spacing w:before="0" w:after="283"/>
              <w:jc w:val="left"/>
              <w:rPr/>
            </w:pPr>
            <w:r>
              <w:rPr/>
              <w:t>Date: August 19, 2005 </w:t>
            </w:r>
          </w:p>
        </w:tc>
        <w:tc>
          <w:tcPr>
            <w:tcW w:w="4236" w:type="dxa"/>
            <w:gridSpan w:val="3"/>
            <w:tcBorders>
              <w:bottom w:val="single" w:sz="2" w:space="0" w:color="000000"/>
            </w:tcBorders>
            <w:shd w:fill="auto" w:val="clear"/>
            <w:tcMar>
              <w:bottom w:w="28" w:type="dxa"/>
            </w:tcMar>
            <w:vAlign w:val="center"/>
          </w:tcPr>
          <w:p>
            <w:pPr>
              <w:pStyle w:val="TableContents"/>
              <w:spacing w:before="0" w:after="283"/>
              <w:jc w:val="left"/>
              <w:rPr/>
            </w:pPr>
            <w:r>
              <w:rPr/>
              <w:t>/s/ Konstantine Sarafis  </w:t>
            </w:r>
          </w:p>
        </w:tc>
        <w:tc>
          <w:tcPr>
            <w:tcW w:w="1352" w:type="dxa"/>
            <w:tcBorders/>
            <w:shd w:fill="auto" w:val="clear"/>
            <w:vAlign w:val="center"/>
          </w:tcPr>
          <w:p>
            <w:pPr>
              <w:pStyle w:val="TableContents"/>
              <w:spacing w:before="0" w:after="283"/>
              <w:rPr/>
            </w:pPr>
            <w:r>
              <w:rPr/>
              <w:t> </w:t>
            </w:r>
          </w:p>
        </w:tc>
      </w:tr>
      <w:tr>
        <w:trPr/>
        <w:tc>
          <w:tcPr>
            <w:tcW w:w="4617" w:type="dxa"/>
            <w:tcBorders/>
            <w:shd w:fill="auto" w:val="clear"/>
            <w:vAlign w:val="center"/>
          </w:tcPr>
          <w:p>
            <w:pPr>
              <w:pStyle w:val="TableContents"/>
              <w:spacing w:before="0" w:after="283"/>
              <w:jc w:val="left"/>
              <w:rPr/>
            </w:pPr>
            <w:r>
              <w:rPr/>
              <w:t> </w:t>
            </w:r>
          </w:p>
        </w:tc>
        <w:tc>
          <w:tcPr>
            <w:tcW w:w="4236" w:type="dxa"/>
            <w:gridSpan w:val="3"/>
            <w:tcBorders/>
            <w:shd w:fill="auto" w:val="clear"/>
            <w:vAlign w:val="center"/>
          </w:tcPr>
          <w:p>
            <w:pPr>
              <w:pStyle w:val="TableContents"/>
              <w:spacing w:before="0" w:after="283"/>
              <w:jc w:val="left"/>
              <w:rPr/>
            </w:pPr>
            <w:r>
              <w:rPr/>
              <w:t>Konstantine Sarafis, President, Chief Executive Officer </w:t>
            </w:r>
          </w:p>
        </w:tc>
        <w:tc>
          <w:tcPr>
            <w:tcW w:w="1352"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761"/>
        <w:gridCol w:w="351"/>
        <w:gridCol w:w="295"/>
        <w:gridCol w:w="3386"/>
        <w:gridCol w:w="1412"/>
      </w:tblGrid>
      <w:tr>
        <w:trPr/>
        <w:tc>
          <w:tcPr>
            <w:tcW w:w="4761"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3386" w:type="dxa"/>
            <w:tcBorders/>
            <w:shd w:fill="auto" w:val="clear"/>
            <w:vAlign w:val="center"/>
          </w:tcPr>
          <w:p>
            <w:pPr>
              <w:pStyle w:val="TableContents"/>
              <w:spacing w:before="0" w:after="283"/>
              <w:rPr/>
            </w:pPr>
            <w:r>
              <w:rPr/>
              <w:t> </w:t>
            </w:r>
          </w:p>
        </w:tc>
        <w:tc>
          <w:tcPr>
            <w:tcW w:w="1412" w:type="dxa"/>
            <w:tcBorders/>
            <w:shd w:fill="auto" w:val="clear"/>
            <w:vAlign w:val="center"/>
          </w:tcPr>
          <w:p>
            <w:pPr>
              <w:pStyle w:val="TableContents"/>
              <w:spacing w:before="0" w:after="283"/>
              <w:rPr/>
            </w:pPr>
            <w:r>
              <w:rPr/>
              <w:t> </w:t>
            </w:r>
          </w:p>
        </w:tc>
      </w:tr>
      <w:tr>
        <w:trPr/>
        <w:tc>
          <w:tcPr>
            <w:tcW w:w="4761" w:type="dxa"/>
            <w:tcBorders/>
            <w:shd w:fill="auto" w:val="clear"/>
            <w:vAlign w:val="center"/>
          </w:tcPr>
          <w:p>
            <w:pPr>
              <w:pStyle w:val="TableContents"/>
              <w:spacing w:before="0" w:after="283"/>
              <w:jc w:val="left"/>
              <w:rPr/>
            </w:pPr>
            <w:r>
              <w:rPr/>
              <w:t>Date: August 19, 2005 </w:t>
            </w:r>
          </w:p>
        </w:tc>
        <w:tc>
          <w:tcPr>
            <w:tcW w:w="4032" w:type="dxa"/>
            <w:gridSpan w:val="3"/>
            <w:tcBorders>
              <w:bottom w:val="single" w:sz="2" w:space="0" w:color="000000"/>
            </w:tcBorders>
            <w:shd w:fill="auto" w:val="clear"/>
            <w:tcMar>
              <w:bottom w:w="28" w:type="dxa"/>
            </w:tcMar>
            <w:vAlign w:val="center"/>
          </w:tcPr>
          <w:p>
            <w:pPr>
              <w:pStyle w:val="TableContents"/>
              <w:spacing w:before="0" w:after="283"/>
              <w:jc w:val="left"/>
              <w:rPr/>
            </w:pPr>
            <w:r>
              <w:rPr/>
              <w:t>/s/ Edward Farrauto  </w:t>
            </w:r>
          </w:p>
        </w:tc>
        <w:tc>
          <w:tcPr>
            <w:tcW w:w="1412" w:type="dxa"/>
            <w:tcBorders/>
            <w:shd w:fill="auto" w:val="clear"/>
            <w:vAlign w:val="center"/>
          </w:tcPr>
          <w:p>
            <w:pPr>
              <w:pStyle w:val="TableContents"/>
              <w:spacing w:before="0" w:after="283"/>
              <w:rPr/>
            </w:pPr>
            <w:r>
              <w:rPr/>
              <w:t> </w:t>
            </w:r>
          </w:p>
        </w:tc>
      </w:tr>
      <w:tr>
        <w:trPr/>
        <w:tc>
          <w:tcPr>
            <w:tcW w:w="4761" w:type="dxa"/>
            <w:tcBorders/>
            <w:shd w:fill="auto" w:val="clear"/>
            <w:vAlign w:val="center"/>
          </w:tcPr>
          <w:p>
            <w:pPr>
              <w:pStyle w:val="TableContents"/>
              <w:spacing w:before="0" w:after="283"/>
              <w:jc w:val="left"/>
              <w:rPr/>
            </w:pPr>
            <w:r>
              <w:rPr/>
              <w:t> </w:t>
            </w:r>
          </w:p>
        </w:tc>
        <w:tc>
          <w:tcPr>
            <w:tcW w:w="4032" w:type="dxa"/>
            <w:gridSpan w:val="3"/>
            <w:tcBorders/>
            <w:shd w:fill="auto" w:val="clear"/>
            <w:vAlign w:val="center"/>
          </w:tcPr>
          <w:p>
            <w:pPr>
              <w:pStyle w:val="TableContents"/>
              <w:spacing w:before="0" w:after="283"/>
              <w:jc w:val="left"/>
              <w:rPr/>
            </w:pPr>
            <w:r>
              <w:rPr/>
              <w:t>Edward Farrauto, Chief Financial Office </w:t>
            </w:r>
          </w:p>
        </w:tc>
        <w:tc>
          <w:tcPr>
            <w:tcW w:w="1412" w:type="dxa"/>
            <w:tcBorders/>
            <w:shd w:fill="auto" w:val="clear"/>
            <w:vAlign w:val="center"/>
          </w:tcPr>
          <w:p>
            <w:pPr>
              <w:pStyle w:val="TableContents"/>
              <w:spacing w:before="0" w:after="283"/>
              <w:rPr/>
            </w:pPr>
            <w:r>
              <w:rPr/>
              <w:t> </w:t>
            </w:r>
          </w:p>
        </w:tc>
      </w:tr>
      <w:tr>
        <w:trPr/>
        <w:tc>
          <w:tcPr>
            <w:tcW w:w="4761" w:type="dxa"/>
            <w:tcBorders/>
            <w:shd w:fill="auto" w:val="clear"/>
            <w:vAlign w:val="center"/>
          </w:tcPr>
          <w:p>
            <w:pPr>
              <w:pStyle w:val="TableContents"/>
              <w:spacing w:before="0" w:after="283"/>
              <w:jc w:val="left"/>
              <w:rPr/>
            </w:pPr>
            <w:r>
              <w:rPr/>
              <w:t> </w:t>
            </w:r>
          </w:p>
        </w:tc>
        <w:tc>
          <w:tcPr>
            <w:tcW w:w="4032" w:type="dxa"/>
            <w:gridSpan w:val="3"/>
            <w:tcBorders/>
            <w:shd w:fill="auto" w:val="clear"/>
            <w:vAlign w:val="center"/>
          </w:tcPr>
          <w:p>
            <w:pPr>
              <w:pStyle w:val="TableContents"/>
              <w:spacing w:before="0" w:after="283"/>
              <w:jc w:val="left"/>
              <w:rPr/>
            </w:pPr>
            <w:r>
              <w:rPr/>
              <w:t> </w:t>
            </w:r>
          </w:p>
        </w:tc>
        <w:tc>
          <w:tcPr>
            <w:tcW w:w="141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26</Pages>
  <Words>14848</Words>
  <CharactersWithSpaces>94078</CharactersWithSpaces>
  <Paragraphs>2662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exv32w1</dc:title>
</cp:coreProperties>
</file>