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421005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U.S. SECURITIES AND EXCHANGE COMMISSION</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FORM 12B-25</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NOTIFICATION OF LATE FILING</w:t>
      </w:r>
    </w:p>
    <w:p>
      <w:pPr>
        <w:spacing w:after="0" w:line="23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 File Number 000-27239</w:t>
      </w:r>
    </w:p>
    <w:p>
      <w:pPr>
        <w:spacing w:after="0" w:line="224" w:lineRule="exact"/>
        <w:rPr>
          <w:sz w:val="24"/>
          <w:szCs w:val="24"/>
          <w:color w:val="auto"/>
        </w:rPr>
      </w:pPr>
    </w:p>
    <w:p>
      <w:pPr>
        <w:ind w:right="3920" w:firstLine="8"/>
        <w:spacing w:after="0" w:line="361" w:lineRule="exact"/>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Form 10-K </w:t>
      </w:r>
      <w:r>
        <w:rPr>
          <w:rFonts w:ascii="MS PGothic" w:cs="MS PGothic" w:eastAsia="MS PGothic" w:hAnsi="MS PGothic"/>
          <w:sz w:val="18"/>
          <w:szCs w:val="18"/>
          <w:color w:val="auto"/>
        </w:rPr>
        <w:t>☐</w:t>
      </w: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Form 11-K </w:t>
      </w:r>
      <w:r>
        <w:rPr>
          <w:rFonts w:ascii="MS PGothic" w:cs="MS PGothic" w:eastAsia="MS PGothic" w:hAnsi="MS PGothic"/>
          <w:sz w:val="18"/>
          <w:szCs w:val="18"/>
          <w:color w:val="auto"/>
        </w:rPr>
        <w:t>☑</w:t>
      </w:r>
      <w:r>
        <w:rPr>
          <w:rFonts w:ascii="Arial" w:cs="Arial" w:eastAsia="Arial" w:hAnsi="Arial"/>
          <w:sz w:val="18"/>
          <w:szCs w:val="18"/>
          <w:color w:val="auto"/>
        </w:rPr>
        <w:t xml:space="preserve">Form 10-Q </w:t>
      </w:r>
      <w:r>
        <w:rPr>
          <w:rFonts w:ascii="MS PGothic" w:cs="MS PGothic" w:eastAsia="MS PGothic" w:hAnsi="MS PGothic"/>
          <w:sz w:val="18"/>
          <w:szCs w:val="18"/>
          <w:color w:val="auto"/>
        </w:rPr>
        <w:t>☐</w:t>
      </w:r>
      <w:r>
        <w:rPr>
          <w:rFonts w:ascii="Arial" w:cs="Arial" w:eastAsia="Arial" w:hAnsi="Arial"/>
          <w:sz w:val="18"/>
          <w:szCs w:val="18"/>
          <w:color w:val="auto"/>
        </w:rPr>
        <w:t xml:space="preserve">Form 10-D </w:t>
      </w:r>
      <w:r>
        <w:rPr>
          <w:rFonts w:ascii="MS PGothic" w:cs="MS PGothic" w:eastAsia="MS PGothic" w:hAnsi="MS PGothic"/>
          <w:sz w:val="18"/>
          <w:szCs w:val="18"/>
          <w:color w:val="auto"/>
        </w:rPr>
        <w:t>☐</w:t>
      </w:r>
      <w:r>
        <w:rPr>
          <w:rFonts w:ascii="Arial" w:cs="Arial" w:eastAsia="Arial" w:hAnsi="Arial"/>
          <w:sz w:val="18"/>
          <w:szCs w:val="18"/>
          <w:color w:val="auto"/>
        </w:rPr>
        <w:t xml:space="preserve">Form N-SAR </w:t>
      </w:r>
      <w:r>
        <w:rPr>
          <w:rFonts w:ascii="MS PGothic" w:cs="MS PGothic" w:eastAsia="MS PGothic" w:hAnsi="MS PGothic"/>
          <w:sz w:val="18"/>
          <w:szCs w:val="18"/>
          <w:color w:val="auto"/>
        </w:rPr>
        <w:t>☐</w:t>
      </w:r>
      <w:r>
        <w:rPr>
          <w:rFonts w:ascii="Arial" w:cs="Arial" w:eastAsia="Arial" w:hAnsi="Arial"/>
          <w:sz w:val="18"/>
          <w:szCs w:val="18"/>
          <w:color w:val="auto"/>
        </w:rPr>
        <w:t>Form N-CSR For Period Ending: June 30, 2014</w:t>
      </w:r>
    </w:p>
    <w:p>
      <w:pPr>
        <w:spacing w:after="0" w:line="19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PART I: REGISTRANT INFORMATION</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Full Name of Registrant: TapImmune Inc.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Address of Principal Executive Office:</w:t>
      </w:r>
    </w:p>
    <w:p>
      <w:pPr>
        <w:spacing w:after="0" w:line="221" w:lineRule="exact"/>
        <w:rPr>
          <w:sz w:val="24"/>
          <w:szCs w:val="24"/>
          <w:color w:val="auto"/>
        </w:rPr>
      </w:pPr>
    </w:p>
    <w:p>
      <w:pPr>
        <w:ind w:left="4640"/>
        <w:spacing w:after="0"/>
        <w:rPr>
          <w:sz w:val="20"/>
          <w:szCs w:val="20"/>
          <w:color w:val="auto"/>
        </w:rPr>
      </w:pPr>
      <w:r>
        <w:rPr>
          <w:rFonts w:ascii="Arial" w:cs="Arial" w:eastAsia="Arial" w:hAnsi="Arial"/>
          <w:sz w:val="18"/>
          <w:szCs w:val="18"/>
          <w:b w:val="1"/>
          <w:bCs w:val="1"/>
          <w:color w:val="auto"/>
        </w:rPr>
        <w:t>1551 Eastlake Avenue East,</w:t>
      </w:r>
    </w:p>
    <w:p>
      <w:pPr>
        <w:spacing w:after="0" w:line="27" w:lineRule="exact"/>
        <w:rPr>
          <w:sz w:val="24"/>
          <w:szCs w:val="24"/>
          <w:color w:val="auto"/>
        </w:rPr>
      </w:pPr>
    </w:p>
    <w:p>
      <w:pPr>
        <w:ind w:left="4860"/>
        <w:spacing w:after="0"/>
        <w:rPr>
          <w:sz w:val="20"/>
          <w:szCs w:val="20"/>
          <w:color w:val="auto"/>
        </w:rPr>
      </w:pPr>
      <w:r>
        <w:rPr>
          <w:rFonts w:ascii="Arial" w:cs="Arial" w:eastAsia="Arial" w:hAnsi="Arial"/>
          <w:sz w:val="18"/>
          <w:szCs w:val="18"/>
          <w:b w:val="1"/>
          <w:bCs w:val="1"/>
          <w:color w:val="auto"/>
        </w:rPr>
        <w:t>Suite 100, Seattle, WA</w:t>
      </w:r>
    </w:p>
    <w:p>
      <w:pPr>
        <w:spacing w:after="0" w:line="9" w:lineRule="exact"/>
        <w:rPr>
          <w:sz w:val="24"/>
          <w:szCs w:val="24"/>
          <w:color w:val="auto"/>
        </w:rPr>
      </w:pPr>
    </w:p>
    <w:p>
      <w:pPr>
        <w:ind w:left="5180"/>
        <w:spacing w:after="0"/>
        <w:rPr>
          <w:sz w:val="20"/>
          <w:szCs w:val="20"/>
          <w:color w:val="auto"/>
        </w:rPr>
      </w:pPr>
      <w:r>
        <w:rPr>
          <w:rFonts w:ascii="Arial" w:cs="Arial" w:eastAsia="Arial" w:hAnsi="Arial"/>
          <w:sz w:val="18"/>
          <w:szCs w:val="18"/>
          <w:b w:val="1"/>
          <w:bCs w:val="1"/>
          <w:u w:val="single" w:color="auto"/>
          <w:color w:val="auto"/>
        </w:rPr>
        <w:t>(206) 504-7278</w:t>
      </w: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PART II: RULES 12B-25(B) AND (C)</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It is anticipated that the subject Quarterly Report on Form 10-Q will be filed within the next several days.</w:t>
      </w:r>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PART III: NARRATIVE</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The Registrant has not completed its Quarterly Report on Form 10-Q for the period ended June 30, 2014 due to administrative delays.</w:t>
      </w: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PART IV: OTHER INFORMATION</w:t>
      </w:r>
    </w:p>
    <w:p>
      <w:pPr>
        <w:spacing w:after="0" w:line="229" w:lineRule="exact"/>
        <w:rPr>
          <w:sz w:val="24"/>
          <w:szCs w:val="24"/>
          <w:color w:val="auto"/>
        </w:rPr>
      </w:pPr>
    </w:p>
    <w:p>
      <w:pPr>
        <w:ind w:right="5300" w:firstLine="8"/>
        <w:spacing w:after="0" w:line="501"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and telephone number of person(s) to contact in regard to this notification Glynn Wilson: 206-504-7278</w:t>
      </w:r>
    </w:p>
    <w:p>
      <w:pPr>
        <w:ind w:firstLine="8"/>
        <w:spacing w:after="0" w:line="264"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the answer is no, identify report(s).</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 X] YES [ ]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29" w:right="299" w:bottom="1440" w:gutter="0" w:footer="0" w:header="0"/>
        </w:sectPr>
      </w:pPr>
    </w:p>
    <w:bookmarkStart w:id="1" w:name="page2"/>
    <w:bookmarkEnd w:id="1"/>
    <w:p>
      <w:pPr>
        <w:ind w:firstLine="8"/>
        <w:spacing w:after="0" w:line="277"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 YES [X] NO</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TapImmune Inc. has caused this notification to be signed on its behalf by the undersigned thereunto duly authorized.</w:t>
      </w:r>
    </w:p>
    <w:p>
      <w:pPr>
        <w:spacing w:after="0" w:line="200" w:lineRule="exact"/>
        <w:rPr>
          <w:sz w:val="20"/>
          <w:szCs w:val="20"/>
          <w:color w:val="auto"/>
        </w:rPr>
      </w:pPr>
    </w:p>
    <w:p>
      <w:pPr>
        <w:spacing w:after="0" w:line="264"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TapImmune Inc.</w:t>
      </w:r>
    </w:p>
    <w:p>
      <w:pPr>
        <w:spacing w:after="0" w:line="229"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color w:val="auto"/>
        </w:rPr>
        <w:t>Dated: August 14, 2014</w:t>
      </w:r>
      <w:r>
        <w:rPr>
          <w:sz w:val="20"/>
          <w:szCs w:val="20"/>
          <w:color w:val="auto"/>
        </w:rPr>
        <w:tab/>
      </w:r>
      <w:r>
        <w:rPr>
          <w:rFonts w:ascii="Arial" w:cs="Arial" w:eastAsia="Arial" w:hAnsi="Arial"/>
          <w:sz w:val="17"/>
          <w:szCs w:val="17"/>
          <w:color w:val="auto"/>
        </w:rPr>
        <w:t>By: /s/ Glynn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14605</wp:posOffset>
            </wp:positionV>
            <wp:extent cx="25901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90165" cy="17145"/>
                    </a:xfrm>
                    <a:prstGeom prst="rect">
                      <a:avLst/>
                    </a:prstGeom>
                    <a:noFill/>
                  </pic:spPr>
                </pic:pic>
              </a:graphicData>
            </a:graphic>
          </wp:anchor>
        </w:drawing>
      </w:r>
    </w:p>
    <w:p>
      <w:pPr>
        <w:spacing w:after="0" w:line="16"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Glynn Wilson</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2070735</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240"/>
      </w:cols>
      <w:pgMar w:left="240" w:top="706"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2020-01-28T07:01:35Z</dcterms:created>
  <dcterms:modified xsi:type="dcterms:W3CDTF">2020-01-28T07:01:35Z</dcterms:modified>
</cp:coreProperties>
</file>