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4"/>
          <w:szCs w:val="24"/>
          <w:color w:val="auto"/>
        </w:rPr>
      </w:pPr>
    </w:p>
    <w:p>
      <w:pPr>
        <w:spacing w:after="0" w:line="28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5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tabs>
          <w:tab w:leader="none" w:pos="60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260" w:right="1779"/>
        <w:spacing w:after="0" w:line="216" w:lineRule="exact"/>
        <w:tabs>
          <w:tab w:leader="none" w:pos="19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3200 Southwest Freeway, Suite 2500</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 77027</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To Be Held On May 24, 2022</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4"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“Company”). The meeting will be held on Tuesday, May 24, 2022 at 8:00 a.m. Central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http://viewproxy.com/markertherapeutics/2022/htype.asp </w:t>
      </w:r>
      <w:r>
        <w:rPr>
          <w:rFonts w:ascii="Times New Roman" w:cs="Times New Roman" w:eastAsia="Times New Roman" w:hAnsi="Times New Roman"/>
          <w:sz w:val="18"/>
          <w:szCs w:val="18"/>
          <w:color w:val="auto"/>
        </w:rPr>
        <w:t>no later than 11:59 p.m. Eastern Time on Friday,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 2022. The meeting will be held for the following purposes:</w:t>
      </w:r>
    </w:p>
    <w:p>
      <w:pPr>
        <w:spacing w:after="0" w:line="130" w:lineRule="exact"/>
        <w:rPr>
          <w:sz w:val="20"/>
          <w:szCs w:val="20"/>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seven nominees for director to hold office until the next Annual Meeting of Stockholders.</w:t>
      </w:r>
    </w:p>
    <w:p>
      <w:pPr>
        <w:spacing w:after="0" w:line="10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121"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increase the authorized number of shares of common stock from 150,000,000 shares to 300,000,000 shares.</w:t>
      </w:r>
    </w:p>
    <w:p>
      <w:pPr>
        <w:spacing w:after="0" w:line="107"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the Company’s Certificate of Incorporation to effect, at the option of the Board of Directors, a reverse stock split of the Company’s common stock at a reverse stock split ratio ranging from one-for-three (1:3) to one-for-twelve (1:12), inclusive, with the effectiveness of one of such amendments and the abandonment of the other amendments, or the abandonment of all amendments, to be determined by the Board of Directors prior to the date of the 2023 Annual Meeting of Stockholders.</w:t>
      </w:r>
    </w:p>
    <w:p>
      <w:pPr>
        <w:spacing w:after="0" w:line="133"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the Company’s Certificate of Incorporation to effect, if and only if Proposal 4 is both approved and implemented, a reduction in the total number of authorized shares of the Company’s common stock as illustrated in the table under the caption “Effects of Authorized Shares Reduction” in the section of the accompanying proxy statement entitled “Approval of Reduction in the Number of Authorized Shares of Common Stock.”</w:t>
      </w:r>
    </w:p>
    <w:p>
      <w:pPr>
        <w:spacing w:after="0" w:line="129"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2020 Equity Incentive Plan, as amended, to increase the number of shares authorized for issuance by 8,500,000 shares.</w:t>
      </w:r>
    </w:p>
    <w:p>
      <w:pPr>
        <w:spacing w:after="0" w:line="121"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Marcum LLP as the independent registered public accounting firm of the Company for its fiscal year ending December 31, 2022.</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25, 2022.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251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Virtual Annual Meeting of Stockholders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Tuesday, May 24, 2022 at 8:00 a.m. Central Time.</w:t>
      </w:r>
    </w:p>
    <w:p>
      <w:pPr>
        <w:spacing w:after="0" w:line="9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Register for the virtual Annual Meeting</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xml:space="preserve">via </w:t>
      </w:r>
      <w:r>
        <w:rPr>
          <w:rFonts w:ascii="Times New Roman" w:cs="Times New Roman" w:eastAsia="Times New Roman" w:hAnsi="Times New Roman"/>
          <w:sz w:val="18"/>
          <w:szCs w:val="18"/>
          <w:b w:val="1"/>
          <w:bCs w:val="1"/>
          <w:i w:val="1"/>
          <w:iCs w:val="1"/>
          <w:color w:val="auto"/>
        </w:rPr>
        <w:t>http://viewproxy.com/markertherapeutics/2022/htype.asp</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http://www.viewproxy.com/markertherapeutics/2022.</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81407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40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1251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r>
    </w:p>
    <w:p>
      <w:pPr>
        <w:spacing w:after="0" w:line="264" w:lineRule="exact"/>
        <w:rPr>
          <w:sz w:val="20"/>
          <w:szCs w:val="20"/>
          <w:color w:val="auto"/>
        </w:rPr>
      </w:pPr>
    </w:p>
    <w:p>
      <w:pPr>
        <w:jc w:val="both"/>
        <w:ind w:left="1400" w:right="559"/>
        <w:spacing w:after="0" w:line="272"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4088130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70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QUESTIONS AND ANSWERS ABOUT THESE PROXY MATERIALS AND VOTING</w:t>
              </w:r>
            </w:hyperlink>
          </w:p>
        </w:tc>
        <w:tc>
          <w:tcPr>
            <w:tcW w:w="1100" w:type="dxa"/>
            <w:vAlign w:val="bottom"/>
            <w:gridSpan w:val="5"/>
            <w:shd w:val="clear" w:color="auto" w:fill="CCEEFF"/>
          </w:tcPr>
          <w:p>
            <w:pPr>
              <w:spacing w:after="0"/>
              <w:rPr>
                <w:sz w:val="19"/>
                <w:szCs w:val="19"/>
                <w:color w:val="auto"/>
              </w:rPr>
            </w:pPr>
          </w:p>
        </w:tc>
        <w:tc>
          <w:tcPr>
            <w:tcW w:w="3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2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700" w:type="dxa"/>
            <w:vAlign w:val="bottom"/>
            <w:gridSpan w:val="17"/>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PROPOSAL 1 ELECTION OF DIRECTORS</w:t>
              </w:r>
            </w:hyperlink>
          </w:p>
        </w:tc>
        <w:tc>
          <w:tcPr>
            <w:tcW w:w="1100" w:type="dxa"/>
            <w:vAlign w:val="bottom"/>
            <w:gridSpan w:val="5"/>
          </w:tcPr>
          <w:p>
            <w:pPr>
              <w:spacing w:after="0"/>
              <w:rPr>
                <w:sz w:val="19"/>
                <w:szCs w:val="19"/>
                <w:color w:val="auto"/>
              </w:rPr>
            </w:pPr>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9</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tcBorders>
              <w:bottom w:val="single" w:sz="8" w:color="0000EE"/>
            </w:tcBorders>
            <w:gridSpan w:val="22"/>
            <w:shd w:val="clear" w:color="auto" w:fill="CCEEFF"/>
          </w:tcPr>
          <w:p>
            <w:pPr>
              <w:spacing w:after="0"/>
              <w:rPr>
                <w:rFonts w:ascii="Times New Roman" w:cs="Times New Roman" w:eastAsia="Times New Roman" w:hAnsi="Times New Roman"/>
                <w:sz w:val="18"/>
                <w:szCs w:val="18"/>
                <w:color w:val="0000EE"/>
                <w:shd w:val="clear" w:color="auto" w:fill="CCEEFF"/>
              </w:rPr>
            </w:pPr>
            <w:hyperlink w:anchor="page16">
              <w:r>
                <w:rPr>
                  <w:rFonts w:ascii="Times New Roman" w:cs="Times New Roman" w:eastAsia="Times New Roman" w:hAnsi="Times New Roman"/>
                  <w:sz w:val="18"/>
                  <w:szCs w:val="18"/>
                  <w:color w:val="0000EE"/>
                  <w:shd w:val="clear" w:color="auto" w:fill="CCEEFF"/>
                </w:rPr>
                <w:t>INFORMATION REGARDING THE BOARD OF DIRECTORS AND CORPORATE GOVERNANCE</w:t>
              </w:r>
            </w:hyperlink>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shd w:val="clear" w:color="auto" w:fill="CCEEFF"/>
              </w:rPr>
            </w:pPr>
            <w:hyperlink w:anchor="page16">
              <w:r>
                <w:rPr>
                  <w:rFonts w:ascii="Times New Roman" w:cs="Times New Roman" w:eastAsia="Times New Roman" w:hAnsi="Times New Roman"/>
                  <w:sz w:val="18"/>
                  <w:szCs w:val="18"/>
                  <w:color w:val="0000EE"/>
                  <w:w w:val="88"/>
                  <w:shd w:val="clear" w:color="auto" w:fill="CCEEFF"/>
                </w:rPr>
                <w:t>13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PROPOSAL 2 ADVISORY VOTE ON EXECUTIVE COMPENSATION</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19</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0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PROPOSAL 3 AMENDMENT TO THE COMPANY’S CERTIFICATE OF INCORPORATION TO</w:t>
              </w:r>
            </w:hyperlink>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2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INCREASE THE AUTHORIZED NUMBER OF SHARES OF COMMON STOCK</w:t>
              </w:r>
            </w:hyperlink>
          </w:p>
        </w:tc>
        <w:tc>
          <w:tcPr>
            <w:tcW w:w="380" w:type="dxa"/>
            <w:vAlign w:val="bottom"/>
            <w:gridSpan w:val="3"/>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PROPOSALS 4 AND 5 BACKGROUND</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16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PROPOSAL 4 REVERSE STOCK SPLIT PROPOSAL</w:t>
              </w:r>
            </w:hyperlink>
          </w:p>
        </w:tc>
        <w:tc>
          <w:tcPr>
            <w:tcW w:w="3640" w:type="dxa"/>
            <w:vAlign w:val="bottom"/>
            <w:tcBorders>
              <w:bottom w:val="single" w:sz="8" w:color="CCEEFF"/>
            </w:tcBorders>
            <w:gridSpan w:val="10"/>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22</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PROPOSAL 5 AUTHORIZED SHARE REDUCTION PROPOSAL</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31</w:t>
              </w:r>
            </w:hyperlink>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00" w:type="dxa"/>
            <w:vAlign w:val="bottom"/>
            <w:gridSpan w:val="22"/>
            <w:shd w:val="clear" w:color="auto" w:fill="CCEEFF"/>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PROPOSAL 6 APPROVAL OF THE COMPANY’S 2020 EQUITY INCENTIVE PLAN, AS</w:t>
              </w:r>
            </w:hyperlink>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14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AMENDED, TO INCREASE THE NUMBER OF SHARES AUTHORIZED FOR ISSUANCE BY</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8,500,000 SHARES</w:t>
              </w:r>
            </w:hyperlink>
          </w:p>
        </w:tc>
        <w:tc>
          <w:tcPr>
            <w:tcW w:w="6100" w:type="dxa"/>
            <w:vAlign w:val="bottom"/>
            <w:tcBorders>
              <w:bottom w:val="single" w:sz="8" w:color="CCEEFF"/>
            </w:tcBorders>
            <w:gridSpan w:val="19"/>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EE"/>
            </w:tcBorders>
            <w:gridSpan w:val="2"/>
            <w:shd w:val="clear" w:color="auto" w:fill="CCEEFF"/>
          </w:tcPr>
          <w:p>
            <w:pPr>
              <w:jc w:val="right"/>
              <w:ind w:right="20"/>
              <w:spacing w:after="0" w:line="196" w:lineRule="exact"/>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34</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29"/>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PROPOSAL 7 RATIFICATION OF SELECTION OF INDEPENDENT REGISTERED PUBLIC</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ACCOUNTING FIRM</w:t>
              </w:r>
            </w:hyperlink>
          </w:p>
        </w:tc>
        <w:tc>
          <w:tcPr>
            <w:tcW w:w="540" w:type="dxa"/>
            <w:vAlign w:val="bottom"/>
            <w:gridSpan w:val="3"/>
          </w:tcPr>
          <w:p>
            <w:pPr>
              <w:spacing w:after="0"/>
              <w:rPr>
                <w:sz w:val="17"/>
                <w:szCs w:val="17"/>
                <w:color w:val="auto"/>
              </w:rPr>
            </w:pPr>
          </w:p>
        </w:tc>
        <w:tc>
          <w:tcPr>
            <w:tcW w:w="380" w:type="dxa"/>
            <w:vAlign w:val="bottom"/>
            <w:gridSpan w:val="3"/>
          </w:tcPr>
          <w:p>
            <w:pPr>
              <w:jc w:val="right"/>
              <w:ind w:right="20"/>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48</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1960" w:type="dxa"/>
            <w:vAlign w:val="bottom"/>
            <w:tcBorders>
              <w:bottom w:val="single" w:sz="8" w:color="0000EE"/>
            </w:tcBorders>
            <w:gridSpan w:val="5"/>
            <w:shd w:val="clear" w:color="auto" w:fill="CCEEFF"/>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EXECUTIVE OFFICERS</w:t>
              </w:r>
            </w:hyperlink>
          </w:p>
        </w:tc>
        <w:tc>
          <w:tcPr>
            <w:tcW w:w="5840" w:type="dxa"/>
            <w:vAlign w:val="bottom"/>
            <w:tcBorders>
              <w:bottom w:val="single" w:sz="8" w:color="CCEEFF"/>
            </w:tcBorders>
            <w:gridSpan w:val="17"/>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49</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SECURITY OWNERSHIP OF CERTAIN BENEFICIAL OWNERS AND MANAGEMENT</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51</w:t>
              </w:r>
            </w:hyperlink>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800" w:type="dxa"/>
            <w:vAlign w:val="bottom"/>
            <w:gridSpan w:val="22"/>
            <w:shd w:val="clear" w:color="auto" w:fill="CCEEFF"/>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DELINQUENT SECTION 16(A) REPORTS</w:t>
              </w:r>
            </w:hyperlink>
          </w:p>
        </w:tc>
        <w:tc>
          <w:tcPr>
            <w:tcW w:w="3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c>
          <w:tcPr>
            <w:tcW w:w="20" w:type="dxa"/>
            <w:vAlign w:val="bottom"/>
            <w:shd w:val="clear" w:color="auto" w:fill="CCEEFF"/>
          </w:tcPr>
          <w:p>
            <w:pPr>
              <w:spacing w:after="0"/>
              <w:rPr>
                <w:sz w:val="22"/>
                <w:szCs w:val="22"/>
                <w:color w:val="auto"/>
              </w:rPr>
            </w:pPr>
          </w:p>
        </w:tc>
      </w:tr>
      <w:tr>
        <w:trPr>
          <w:trHeight w:val="243"/>
        </w:trPr>
        <w:tc>
          <w:tcPr>
            <w:tcW w:w="33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EXECUTIVE COMPENSATION</w:t>
              </w:r>
            </w:hyperlink>
          </w:p>
        </w:tc>
        <w:tc>
          <w:tcPr>
            <w:tcW w:w="4440" w:type="dxa"/>
            <w:vAlign w:val="bottom"/>
            <w:tcBorders>
              <w:top w:val="single" w:sz="8" w:color="CCEEFF"/>
            </w:tcBorders>
            <w:gridSpan w:val="13"/>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gridSpan w:val="2"/>
          </w:tcPr>
          <w:p>
            <w:pPr>
              <w:jc w:val="right"/>
              <w:ind w:right="20"/>
              <w:spacing w:after="0"/>
              <w:rPr>
                <w:rFonts w:ascii="Times New Roman" w:cs="Times New Roman" w:eastAsia="Times New Roman" w:hAnsi="Times New Roman"/>
                <w:sz w:val="18"/>
                <w:szCs w:val="18"/>
                <w:color w:val="0000EE"/>
                <w:w w:val="88"/>
              </w:rPr>
            </w:pPr>
            <w:hyperlink w:anchor="page57">
              <w:r>
                <w:rPr>
                  <w:rFonts w:ascii="Times New Roman" w:cs="Times New Roman" w:eastAsia="Times New Roman" w:hAnsi="Times New Roman"/>
                  <w:sz w:val="18"/>
                  <w:szCs w:val="18"/>
                  <w:color w:val="0000EE"/>
                  <w:w w:val="88"/>
                </w:rPr>
                <w:t>54</w:t>
              </w:r>
            </w:hyperlink>
          </w:p>
        </w:tc>
        <w:tc>
          <w:tcPr>
            <w:tcW w:w="20" w:type="dxa"/>
            <w:vAlign w:val="bottom"/>
            <w:tcBorders>
              <w:top w:val="single" w:sz="8" w:color="CCEEFF"/>
            </w:tcBorders>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2"/>
            <w:shd w:val="clear" w:color="auto" w:fill="CCEEFF"/>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DIRECTOR COMPENSATION</w:t>
              </w:r>
            </w:hyperlink>
          </w:p>
        </w:tc>
        <w:tc>
          <w:tcPr>
            <w:tcW w:w="38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2"/>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TRANSACTIONS WITH RELATED PERSONS AND INDEMNIFICATION</w:t>
              </w:r>
            </w:hyperlink>
          </w:p>
        </w:tc>
        <w:tc>
          <w:tcPr>
            <w:tcW w:w="3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63</w:t>
              </w:r>
            </w:hyperlink>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52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HOUSEHOLDING OF PROXY MATERIALS</w:t>
              </w:r>
            </w:hyperlink>
          </w:p>
        </w:tc>
        <w:tc>
          <w:tcPr>
            <w:tcW w:w="4280" w:type="dxa"/>
            <w:vAlign w:val="bottom"/>
            <w:tcBorders>
              <w:bottom w:val="single" w:sz="8" w:color="CCEEFF"/>
            </w:tcBorders>
            <w:gridSpan w:val="11"/>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65</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1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OTHER MATTERS</w:t>
              </w:r>
            </w:hyperlink>
          </w:p>
        </w:tc>
        <w:tc>
          <w:tcPr>
            <w:tcW w:w="6280" w:type="dxa"/>
            <w:vAlign w:val="bottom"/>
            <w:gridSpan w:val="20"/>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0000EE"/>
            </w:tcBorders>
            <w:gridSpan w:val="2"/>
          </w:tcPr>
          <w:p>
            <w:pPr>
              <w:jc w:val="right"/>
              <w:ind w:right="20"/>
              <w:spacing w:after="0"/>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66</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3200 Southwest Freeway, Suite 2500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 77027</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4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MAY 24, 2022</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2022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2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April 15, 2022 to all stockholders of record entitled to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 xml:space="preserve">http:// viewproxy.com/markertherapeutics/2022/htype.asp </w:t>
      </w:r>
      <w:r>
        <w:rPr>
          <w:rFonts w:ascii="Times New Roman" w:cs="Times New Roman" w:eastAsia="Times New Roman" w:hAnsi="Times New Roman"/>
          <w:sz w:val="18"/>
          <w:szCs w:val="18"/>
          <w:color w:val="auto"/>
        </w:rPr>
        <w:t>by 11:59 p.m. Eastern Time on Friday, May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10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have decided to hold a virtual stockholder meeting because of the continued public health impact of the COVID-19 pandemic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6"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25, 2022 will be entitled to vote at the Annual Meeting. On this record date, there were 83,078,675 shares of common stock outstanding and entitled to vote.</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on March 25, 2022 your shares were registered directly in your name with Marker’s transfer agent, American Stock Transfer &amp;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registered holder, your virtual control number will be on your Notice of Internet Availability of Proxy Materials or proxy card.</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4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If on March 25, 2022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 viewproxy.com/markertherapeutics/2022/htype.asp</w:t>
      </w:r>
      <w:r>
        <w:rPr>
          <w:rFonts w:ascii="Times New Roman" w:cs="Times New Roman" w:eastAsia="Times New Roman" w:hAnsi="Times New Roman"/>
          <w:sz w:val="18"/>
          <w:szCs w:val="18"/>
          <w:color w:val="auto"/>
        </w:rPr>
        <w:t xml:space="preserve">.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seven matters scheduled for a vote:</w:t>
      </w:r>
    </w:p>
    <w:p>
      <w:pPr>
        <w:spacing w:after="0" w:line="11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directors (Proposal 1);</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increase the authorized number of shares of common stock from 150,000,000 shares to 300,000,000 shares (Proposal 3);</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the Company’s Certificate of Incorporation to effect a reverse stock split of the Company’s common stock at a reverse stock split ratio ranging from one-for-three (1:3) to one-for-twelve (1:12), inclusive (the “Reverse Stock Split”), with the effectiveness of one of such amendments and the abandonment of the other amendments, or the abandonment of all amendments, to be determined by the Board of Directors prior to the date of the 2023 Annual Meeting of Stockholders (Proposal 4);</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the Company’s Certificate of Incorporation to effect, if and only if Proposal 4 is both approved and implemented, a reduction in the total number of authorized shares of our common stock (the “Authorized Shares Reduction”) with the specific number of authorized shares determined by a formula that is based on the ratio utilized for the Reverse Stock Split (Proposal 5);</w:t>
      </w:r>
    </w:p>
    <w:p>
      <w:pPr>
        <w:spacing w:after="0" w:line="29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2020 Equity Incentive Plan, as amended, to increase the number of shares authorized for issuance by 8,500,000 shares (Proposal 6);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Marcum LLP as the independent registered public accounting firm of the Company for its fiscal year ending December 31, 2022 (Proposal 7).</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you may vote “For” or “Against” or abstain from voting.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85" w:lineRule="exact"/>
        <w:rPr>
          <w:sz w:val="20"/>
          <w:szCs w:val="20"/>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Monday, May 23, 2022 to be counted.</w:t>
      </w:r>
    </w:p>
    <w:p>
      <w:pPr>
        <w:spacing w:after="0" w:line="69"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Monday, May 23, 2022 to be counted.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245110</wp:posOffset>
            </wp:positionV>
            <wp:extent cx="521208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659765"/>
                    </a:xfrm>
                    <a:prstGeom prst="rect">
                      <a:avLst/>
                    </a:prstGeom>
                    <a:noFill/>
                  </pic:spPr>
                </pic:pic>
              </a:graphicData>
            </a:graphic>
          </wp:anchor>
        </w:drawing>
      </w:r>
    </w:p>
    <w:p>
      <w:pPr>
        <w:spacing w:after="0" w:line="397" w:lineRule="exact"/>
        <w:rPr>
          <w:sz w:val="20"/>
          <w:szCs w:val="20"/>
          <w:color w:val="auto"/>
        </w:rPr>
      </w:pPr>
    </w:p>
    <w:p>
      <w:pPr>
        <w:ind w:left="1320" w:right="5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March 25, 2022.</w:t>
      </w:r>
    </w:p>
    <w:p>
      <w:pPr>
        <w:spacing w:after="0" w:line="15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91"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54"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seven nominees for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executive compensation;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to the Company’s Certificate of Incorporation to increase the number of authorized shares from 150,000,000 to 300,000,000;</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series of alternate amendments to the Company’s Certificate of Incorporation to effect, at the option of the Board of Directors, a Reverse Stock Split at a ratio between one-for-three and one-for-twelve, inclusive, as determined by the Board of Directors in its sole discretion;</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series of alternate amendments to the Company’s Certificate of Incorporation to effect, if and only if Proposal 4 is both approved and implemented, an Authorized Shares Reduction, with the specific number of authorized shares determined by a formula that is based on the ratio utilized for the Reverse Stock Split;</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to the Company’s 2020 Equity Incentive Plan, as amended, to increase the number of shares authorized for issuance by 8,500,000 shares;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Marcum LLP as independent auditors for the year ending December 31, 2022.</w:t>
      </w:r>
    </w:p>
    <w:p>
      <w:pPr>
        <w:spacing w:after="0" w:line="34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2 and 6 are considered to be “non-routine” under such rules, meaning that your broker may not vote your shares on those proposals in the absence of your voting instructions. However, Proposals 3, 4, 5 and 7 is considered to be “routine” under such rules, meaning that if you do not return voting instructions to your broker by its deadline, your shares may be voted by your broker in its discretion on Proposals 3, 4, 5 and 7.</w:t>
      </w:r>
    </w:p>
    <w:p>
      <w:pPr>
        <w:spacing w:after="0" w:line="400"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67"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3200 Southwest Freeway, Suite 2500, Houston, Texas 77027.</w:t>
      </w:r>
    </w:p>
    <w:p>
      <w:pPr>
        <w:spacing w:after="0" w:line="8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written proposal must be received by our Secretary by December 16, 2022. If you wish to submit a proposal (including a director nomination) at the meeting that is not to be included in next year’s proxy materials, you must do so not earlier than January 24, 2023 and not later than February 23, 2023. Stockholder proposals and director nominations should be addressed to Marker Therapeutics, Inc., Attention: Secretary, 3200 Southwest Freeway, Suite 2500, Houston, Texas 77027. Your notice to the Secretary must set forth information specified in our bylaws.</w:t>
      </w:r>
    </w:p>
    <w:p>
      <w:pPr>
        <w:spacing w:after="0" w:line="10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1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0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(once effective), stockholders who intend to solicit proxies in support of director nominees other than our nominees must provide notice that sets forth the information required by Rule 14a-19 under the Exchange Act no later than March 25, 2023.</w:t>
      </w:r>
    </w:p>
    <w:p>
      <w:pPr>
        <w:spacing w:after="0" w:line="11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4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with respect to the other proposals, votes “For” and “Against,” abstentions and, if applicable, broker non-votes. Abstentions will be counted towards the vote total for each of Proposals 2, 3, 4, 5, 6 and 7, and will have the same effect as “Against” votes. Broker non -votes on Proposals 1, 2 and 6 will have no effect and will not be counted towards the vote total for any of those proposals. For Proposals 3, 4, 5 and 7, broker non-votes will have the same effect as “Against” votes; however, since brokers have authority to vote on your behalf with respect to Proposals 3, 4, 5 and 7, we do not expect broker non-votes on these proposals.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stock exchange rules, the broker, bank or other such agent cannot vote the shares. These un-voted shares are counted as “broker non-votes.” Proposals 1, 2 and 6 are considered to be “non-routine” under stock exchange rules and we therefore expect broker non-votes on these proposals. However, as Proposals 3, 4, 5 and 7 are considered “routine” under stock exchange rules, we do not expect broker non-votes on these proposals.</w:t>
      </w:r>
    </w:p>
    <w:p>
      <w:pPr>
        <w:spacing w:after="0" w:line="18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the election of directors, the seven nominees receiving the most “For” votes from the holders of shares present online at the meeting or represented by proxy and entitled to vote on the election of directors will be elected. Only votes “For” will affect the outcome.</w:t>
      </w:r>
    </w:p>
    <w:p>
      <w:pPr>
        <w:spacing w:after="0" w:line="96"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Proposal 2,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13"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Proposal 3, approval of an amendment to the Company’s Certificate of Incorporation to increase the authorized number of shares of common stock from 150,000,000 shares to 300,000,000 shares, will be considered to be approved if it receives “For” votes from the holders of a majority of shares outstanding and entitled to vote on the matter. If you “Abstain” from voting, it will have the same effect as an “Against” vote. Broker non -votes will have the same effect as “Against” votes. Since brokers have authority to vote on your behalf with respect to Proposal 3, we do not expect broker non-votes on this proposal.</w:t>
      </w:r>
    </w:p>
    <w:p>
      <w:pPr>
        <w:spacing w:after="0" w:line="11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Proposal 4, approval of a series of alternate amendments to the Company’s Certificate of Incorporation to effect, at the option of the Board of Directors, a Reverse Stock Split at a ratio between one-for-three and one-for-twelve, inclusive, as determined by the Board of Directors in its sole discretion, will be considered to be approved if it receives “For” votes from the holders of a majority of shares outstanding and entitled to vote on the matter. If you “Abstain” from voting, it will have the same effect as an “Against” vote. Broker non- votes will have the same effect as “Against” votes. Since brokers have authority to vote on your behalf with respect to Proposal 4, we do not expect broker non-votes on this proposal.</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Proposal 5, approval of a series of alternate amendments to the Company’s Certificate of Incorporation to effect, if and only if Proposal 4 is both approved and implemented, an Authorized Shares Reduction, with the specific number of authorized shares determined by a formula that is based on the ratio utilized for the Reverse Stock Split, will be considered to be approved if it receives “For” votes from the holders of a majority of shares outstanding and entitled to vote on the matter. If you “Abstain” from voting, it will have the same effect as an “Against” vote. Broker non-votes will have the same effect as “Against” votes. Since brokers have authority to vote on your behalf with respect to Proposal 4, we do not expect broker non-votes on this proposal.</w:t>
      </w: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Proposal 6, approval of the Company’s 2020 Equity Incentive Plan, as amended, to increase the number of shares authorized for issuance by 8,500,000 shares,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0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Proposal 7, ratification of the selection of Marcum LLP as the Company’s independent registered public accounting firm for fiscal year 2022, must receive “For” votes from the holders of a majority of shares present online at the meeting or represented by proxy and entitled to vote on the matter. If you “Abstain” from voting, it will have the same effect as an “Against” vote. Broker non-votes will have the same effect as “Against” votes. Since brokers have authority to vote on your behalf with respect to Proposal 7, we do not expect broker non-votes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online at the virtual meeting or represented by proxy. On the record date, there were 83,078,675 shares outstanding and entitled to vote. Thus, the holders of 41,539,338 shares must be present online at the virtual meeting or represented by proxy at the meeting to have a quorum.</w:t>
      </w:r>
    </w:p>
    <w:p>
      <w:pPr>
        <w:spacing w:after="0" w:line="11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legal proxy (or one is submitted on your behalf by your broker, bank or other nominee) or if you vote online during the meeting. 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Only stockholders of record as of March 25, 2022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 xml:space="preserve">http:// viewproxy.com/markertherapeutics/2022/htype.asp </w:t>
      </w:r>
      <w:r>
        <w:rPr>
          <w:rFonts w:ascii="Times New Roman" w:cs="Times New Roman" w:eastAsia="Times New Roman" w:hAnsi="Times New Roman"/>
          <w:sz w:val="18"/>
          <w:szCs w:val="18"/>
          <w:color w:val="auto"/>
        </w:rPr>
        <w:t>by 11:59 p.m. Eastern Time on Friday, May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once you join the meeting, you can type your question in the questions/chat box in the meeting portal.</w:t>
      </w:r>
    </w:p>
    <w:p>
      <w:pPr>
        <w:spacing w:after="0" w:line="32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7:45 a.m. on May 24, 2022, the day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5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Board of Directors consists of eight directors, seven of whom are nominees for re- election as a director this year. On April 5, 2022, Frederick Wasserman informed the Board that he will not be standing for reelection at the Annual Meeting. Mr. Wasserman will continue to serve as a director, our chairman and a member of the Audit Committee, Compensation Committee and Nominating and Corporate Governance Committee until the expiration of his current term at the conclusion of the Annual Meeting.</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except for Dr. Knobil, who was appointed to the Board by the Board of Directors in December 2021 after being identified and evaluated by executive search firm Heidrick &amp; Struggles. See “Information Regarding the Board of Directors and Corporate Governance – Nominating and Corporate Governance Committee.”</w:t>
      </w:r>
    </w:p>
    <w:p>
      <w:pPr>
        <w:spacing w:after="0" w:line="3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All seven of the directors then in office attended the 2021 Annual Meeting of Stockholders.</w:t>
      </w:r>
    </w:p>
    <w:p>
      <w:pPr>
        <w:spacing w:after="0" w:line="81"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eight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11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brief biographies below include information, as of April 1, 2022,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61</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Mr. Eansor joined the Board in October 2018 and will serve as the Chair of the Board following the Annual Meeting.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58</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2019. Mr. Elms has also served as a director of Zosano Pharma Corp. since May 2018. He previously served as a member of the board of directors of LOXO Oncology from July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Peter Hoang, </w:t>
      </w:r>
      <w:r>
        <w:rPr>
          <w:rFonts w:ascii="Times New Roman" w:cs="Times New Roman" w:eastAsia="Times New Roman" w:hAnsi="Times New Roman"/>
          <w:sz w:val="18"/>
          <w:szCs w:val="18"/>
          <w:i w:val="1"/>
          <w:iCs w:val="1"/>
          <w:color w:val="auto"/>
        </w:rPr>
        <w:t>age 50</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Mr. Hoang joined the Board in, and has served as our President and Chief Executive Officer since, September 2017. Mr. Hoang previously served as Senior Vice President of Business Development and Strategy at Bellicum Pharmaceuticals from 2014 to March 2017 and as the Managing Director of Innovations at The University of Texas MD Anderson Cancer Center from 2012 to 2014. Mr. Hoang earned a B.A. from Yale University and an M.B.A. from the Anderson School of Management at the University of California, Los Angeles. The Board believes that Mr. Hoang’s role as our principal executive officer and leadership and management experience in the pharmaceutical industry qualify him to serve on the Board.</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58</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Knobil joined the Board in December 2021. Dr. Knobil currently serves as Chief Medical Officer of Agilent Technologies Inc., a position she has held since April 2021.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December 2017 to December 2018, and as Chief Medical Officer for Pharmaceuticals at GSK from November 2015 to December 2017. She served as a member of the board of directors of Arena Pharmaceuticals, Inc. from June 2020 until its acquisition by Pfizer Inc. in March 2022.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Laskow-Pooley, </w:t>
      </w:r>
      <w:r>
        <w:rPr>
          <w:rFonts w:ascii="Times New Roman" w:cs="Times New Roman" w:eastAsia="Times New Roman" w:hAnsi="Times New Roman"/>
          <w:sz w:val="18"/>
          <w:szCs w:val="18"/>
          <w:i w:val="1"/>
          <w:iCs w:val="1"/>
          <w:color w:val="auto"/>
        </w:rPr>
        <w:t>age 67</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Mr. Laskow-Pooley joined the Board in March 2015. He co-founded Pharmafor Ltd., an incubator for pharmaceutical and medical technology companies, in 2009. Mr. Laskow-Pooley served as Chief Executive Officer of LondonPharma Ltd from April 2012 to August 2017. He has served as a director of Abliva AB (f/k/a NeuroVive Pharmaceutical AB) since April 2016, and as the chairman since November 2017. Mr. Laskow-Pooley earned a B.Sc. in Pharmacy from the Sunderland School of Pharmacy. The Board believes that Mr. Laskow-Pooley’s extensive international experience in the pharmaceutical industry, including on the launches of drugs and medical devices, qualifies him to serve on the Board.</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42</w:t>
      </w:r>
    </w:p>
    <w:p>
      <w:pPr>
        <w:spacing w:after="0" w:line="14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Dr. Vera joined the Board in October 2018. He has served as our Chief Scientific Officer and Chief Operating Officer since November 2021 and previously served as our Chief Scientific Officer. Dr. Vera is a co-inventor of the multi-tumor associated antigen technology and co-founder of our predecessor, Marker Cell Therapy, Inc. Dr. Vera has held various positions at the Center for Cell and Gene Therapy at Baylor College of Medicine, most recently as an Associate Professor from 2015 to present. Dr. Vera is also a co-founder of Allovir, Inc.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served as its Chief Product Development Officer from January 2014 to June 2020, and as a member of the board of directors since January 2014.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multi-tumor associated antigen technology, qualifies him to serve on the Board.</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John Wilson, </w:t>
      </w:r>
      <w:r>
        <w:rPr>
          <w:rFonts w:ascii="Times New Roman" w:cs="Times New Roman" w:eastAsia="Times New Roman" w:hAnsi="Times New Roman"/>
          <w:sz w:val="18"/>
          <w:szCs w:val="18"/>
          <w:i w:val="1"/>
          <w:iCs w:val="1"/>
          <w:color w:val="auto"/>
        </w:rPr>
        <w:t>age 62</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Wilson joined the Board in October 2018. Mr. Wilson is a co-inventor of the multi-tumor associated antigen technology and co-founder of our predecessor, Marker Cell Therapy, Inc. Since 1996, he has been the Chief Executive Officer of Wilson Wolf Manufacturing Corporation. He is also a co-founder of Allovir, Inc. and served as its Managing Director from 2013 to 2019. He has served on the board of directors of Allovir since 2018 but will not stand for reelection at Allovir’s upcoming annual meeting of stockholders. Mr. Wilson earned a B.A. in Business Administration and a B.A in Economics from Hamline University and a B.S. in Mechanical Engineering from the University of Minnesota. The Board believes that Mr. Wilson’s extensive scientific and manufacturing experience qualifies him to serve on the Board.</w:t>
      </w:r>
    </w:p>
    <w:p>
      <w:pPr>
        <w:spacing w:after="0" w:line="1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Mr. Wasserman, who has served as a member of our Board since 2016, is not standing for reelection at the Annual Meeting. The Board thanks Mr. Wasserman for his years of service and significant contributions to the Company and wishes him luck in his future endeavors.</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Frederick Wasserman, </w:t>
      </w:r>
      <w:r>
        <w:rPr>
          <w:rFonts w:ascii="Times New Roman" w:cs="Times New Roman" w:eastAsia="Times New Roman" w:hAnsi="Times New Roman"/>
          <w:sz w:val="18"/>
          <w:szCs w:val="18"/>
          <w:i w:val="1"/>
          <w:iCs w:val="1"/>
          <w:color w:val="auto"/>
        </w:rPr>
        <w:t>age 67</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Mr. Wasserman joined the Board in January 2016 and has served as the Chair of the Board since October 2018. Since 2007, Mr. Wasserman has served as the President of FGW Partners LLC. He has served on the board of directors of DLH Holdings Corp. since January 2007, and as the chairman since July 2009, and previously served on the boards of directors of SMTC Corporation from August 2013 until the company’s acquisition in April 2021, Breeze Eastern Corporation from September 2007 to January 2016, National Holdings Corporation from October 2013 to September 2016 and MAM Software Group, Inc. from 2007 until the company’s acquisition in October 2019. Mr. Wasserman earned a B.S. in Economics from The Wharton School of Business at The University of Pennsylvania and has been a certified public accountant. The Board believes that Mr. Wasserman’s extensive management experience, including as a member of the boards of directors of public companies, qualifies him to serve on the Board.</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eight directors serving on the Board as of April 1, 2022, in accordance with Nasdaq listing Rule 5605(f). Each term used in the table has the definition provided in the rule and related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97790</wp:posOffset>
            </wp:positionV>
            <wp:extent cx="4749165" cy="1765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1765935"/>
                    </a:xfrm>
                    <a:prstGeom prst="rect">
                      <a:avLst/>
                    </a:prstGeom>
                    <a:noFill/>
                  </pic:spPr>
                </pic:pic>
              </a:graphicData>
            </a:graphic>
          </wp:anchor>
        </w:drawing>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 2022)</w:t>
      </w:r>
    </w:p>
    <w:p>
      <w:pPr>
        <w:spacing w:after="0" w:line="38" w:lineRule="exact"/>
        <w:rPr>
          <w:sz w:val="20"/>
          <w:szCs w:val="20"/>
          <w:color w:val="auto"/>
        </w:rPr>
      </w:pPr>
    </w:p>
    <w:tbl>
      <w:tblPr>
        <w:tblLayout w:type="fixed"/>
        <w:tblInd w:w="1620" w:type="dxa"/>
        <w:tblCellMar>
          <w:top w:w="0" w:type="dxa"/>
          <w:left w:w="0" w:type="dxa"/>
          <w:bottom w:w="0" w:type="dxa"/>
          <w:right w:w="0" w:type="dxa"/>
        </w:tblCellMar>
      </w:tblPr>
      <w:tr>
        <w:trPr>
          <w:trHeight w:val="263"/>
        </w:trPr>
        <w:tc>
          <w:tcPr>
            <w:tcW w:w="20" w:type="dxa"/>
            <w:vAlign w:val="bottom"/>
            <w:tcBorders>
              <w:top w:val="single" w:sz="8" w:color="auto"/>
              <w:bottom w:val="single" w:sz="8" w:color="auto"/>
            </w:tcBorders>
          </w:tcPr>
          <w:p>
            <w:pPr>
              <w:spacing w:after="0"/>
              <w:rPr>
                <w:sz w:val="22"/>
                <w:szCs w:val="22"/>
                <w:color w:val="auto"/>
              </w:rPr>
            </w:pPr>
          </w:p>
        </w:tc>
        <w:tc>
          <w:tcPr>
            <w:tcW w:w="49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shd w:val="clear" w:color="auto" w:fill="CCCCCC"/>
          </w:tcPr>
          <w:p>
            <w:pPr>
              <w:spacing w:after="0"/>
              <w:rPr>
                <w:sz w:val="21"/>
                <w:szCs w:val="21"/>
                <w:color w:val="auto"/>
              </w:rPr>
            </w:pPr>
          </w:p>
        </w:tc>
        <w:tc>
          <w:tcPr>
            <w:tcW w:w="1060" w:type="dxa"/>
            <w:vAlign w:val="bottom"/>
            <w:tcBorders>
              <w:bottom w:val="single" w:sz="8" w:color="auto"/>
            </w:tcBorders>
            <w:shd w:val="clear" w:color="auto" w:fill="CCCCCC"/>
          </w:tcPr>
          <w:p>
            <w:pPr>
              <w:ind w:left="3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220" w:type="dxa"/>
            <w:vAlign w:val="bottom"/>
            <w:tcBorders>
              <w:bottom w:val="single" w:sz="8" w:color="auto"/>
              <w:right w:val="single" w:sz="8" w:color="auto"/>
            </w:tcBorders>
            <w:shd w:val="clear" w:color="auto" w:fill="CCCCCC"/>
          </w:tcPr>
          <w:p>
            <w:pPr>
              <w:spacing w:after="0"/>
              <w:rPr>
                <w:sz w:val="21"/>
                <w:szCs w:val="21"/>
                <w:color w:val="auto"/>
              </w:rPr>
            </w:pPr>
          </w:p>
        </w:tc>
        <w:tc>
          <w:tcPr>
            <w:tcW w:w="80" w:type="dxa"/>
            <w:vAlign w:val="bottom"/>
            <w:tcBorders>
              <w:bottom w:val="single" w:sz="8" w:color="auto"/>
            </w:tcBorders>
            <w:shd w:val="clear" w:color="auto" w:fill="CCCCCC"/>
          </w:tcPr>
          <w:p>
            <w:pPr>
              <w:spacing w:after="0"/>
              <w:rPr>
                <w:sz w:val="21"/>
                <w:szCs w:val="21"/>
                <w:color w:val="auto"/>
              </w:rPr>
            </w:pPr>
          </w:p>
        </w:tc>
        <w:tc>
          <w:tcPr>
            <w:tcW w:w="1160" w:type="dxa"/>
            <w:vAlign w:val="bottom"/>
            <w:tcBorders>
              <w:bottom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60" w:type="dxa"/>
            <w:vAlign w:val="bottom"/>
            <w:tcBorders>
              <w:bottom w:val="single" w:sz="8" w:color="auto"/>
            </w:tcBorders>
            <w:shd w:val="clear" w:color="auto" w:fill="CCCCCC"/>
          </w:tcPr>
          <w:p>
            <w:pPr>
              <w:spacing w:after="0"/>
              <w:rPr>
                <w:sz w:val="21"/>
                <w:szCs w:val="21"/>
                <w:color w:val="auto"/>
              </w:rPr>
            </w:pPr>
          </w:p>
        </w:tc>
        <w:tc>
          <w:tcPr>
            <w:tcW w:w="220" w:type="dxa"/>
            <w:vAlign w:val="bottom"/>
            <w:tcBorders>
              <w:bottom w:val="single" w:sz="8" w:color="auto"/>
              <w:right w:val="single" w:sz="8" w:color="auto"/>
            </w:tcBorders>
            <w:shd w:val="clear" w:color="auto" w:fill="CCCCCC"/>
          </w:tcPr>
          <w:p>
            <w:pPr>
              <w:spacing w:after="0"/>
              <w:rPr>
                <w:sz w:val="21"/>
                <w:szCs w:val="21"/>
                <w:color w:val="auto"/>
              </w:rPr>
            </w:pPr>
          </w:p>
        </w:tc>
        <w:tc>
          <w:tcPr>
            <w:tcW w:w="80" w:type="dxa"/>
            <w:vAlign w:val="bottom"/>
            <w:tcBorders>
              <w:bottom w:val="single" w:sz="8" w:color="auto"/>
            </w:tcBorders>
            <w:shd w:val="clear" w:color="auto" w:fill="CCCCCC"/>
          </w:tcPr>
          <w:p>
            <w:pPr>
              <w:spacing w:after="0"/>
              <w:rPr>
                <w:sz w:val="21"/>
                <w:szCs w:val="21"/>
                <w:color w:val="auto"/>
              </w:rPr>
            </w:pPr>
          </w:p>
        </w:tc>
        <w:tc>
          <w:tcPr>
            <w:tcW w:w="1160" w:type="dxa"/>
            <w:vAlign w:val="bottom"/>
            <w:tcBorders>
              <w:bottom w:val="single" w:sz="8" w:color="auto"/>
            </w:tcBorders>
            <w:shd w:val="clear" w:color="auto" w:fill="CCCCCC"/>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Directors</w:t>
            </w:r>
          </w:p>
        </w:tc>
        <w:tc>
          <w:tcPr>
            <w:tcW w:w="10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060" w:type="dxa"/>
            <w:vAlign w:val="bottom"/>
            <w:tcBorders>
              <w:bottom w:val="single" w:sz="8" w:color="auto"/>
            </w:tcBorders>
            <w:shd w:val="clear" w:color="auto" w:fill="CCCCCC"/>
          </w:tcPr>
          <w:p>
            <w:pPr>
              <w:spacing w:after="0"/>
              <w:rPr>
                <w:sz w:val="21"/>
                <w:szCs w:val="21"/>
                <w:color w:val="auto"/>
              </w:rPr>
            </w:pPr>
          </w:p>
        </w:tc>
        <w:tc>
          <w:tcPr>
            <w:tcW w:w="220" w:type="dxa"/>
            <w:vAlign w:val="bottom"/>
            <w:tcBorders>
              <w:bottom w:val="single" w:sz="8" w:color="auto"/>
              <w:right w:val="single" w:sz="8" w:color="auto"/>
            </w:tcBorders>
            <w:shd w:val="clear" w:color="auto" w:fill="CCCCCC"/>
          </w:tcPr>
          <w:p>
            <w:pPr>
              <w:spacing w:after="0"/>
              <w:rPr>
                <w:sz w:val="21"/>
                <w:szCs w:val="21"/>
                <w:color w:val="auto"/>
              </w:rPr>
            </w:pPr>
          </w:p>
        </w:tc>
        <w:tc>
          <w:tcPr>
            <w:tcW w:w="80" w:type="dxa"/>
            <w:vAlign w:val="bottom"/>
            <w:tcBorders>
              <w:bottom w:val="single" w:sz="8" w:color="auto"/>
            </w:tcBorders>
            <w:shd w:val="clear" w:color="auto" w:fill="CCCCCC"/>
          </w:tcPr>
          <w:p>
            <w:pPr>
              <w:spacing w:after="0"/>
              <w:rPr>
                <w:sz w:val="21"/>
                <w:szCs w:val="21"/>
                <w:color w:val="auto"/>
              </w:rPr>
            </w:pPr>
          </w:p>
        </w:tc>
        <w:tc>
          <w:tcPr>
            <w:tcW w:w="1160" w:type="dxa"/>
            <w:vAlign w:val="bottom"/>
            <w:tcBorders>
              <w:bottom w:val="single" w:sz="8" w:color="auto"/>
            </w:tcBorders>
            <w:shd w:val="clear" w:color="auto" w:fill="CCCCCC"/>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Asian</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Hispanic or Latinx</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who are standing for reelection at the Annual Meeting are independent directors within the meaning of the applicable Nasdaq listing standards: David Eansor, Steven Elms, Katharine Knobil, David Laskow-Pooley, John Wilson. In making this determination, the Board found that none of these directors or nominees for director had a material or other disqualifying relationship with the Company.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7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Wasserman until the expiration of his term at the conclusion of the Annual Meeting and thereafter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of Directors met eleven times during the last fiscal year. Each director attended 75% or more of the aggregate number of meetings of the Board and of the committees on which he served held during the portion of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2021 for each of the Board committees:</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Nominating and</w:t>
            </w: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Corporate Governance</w:t>
            </w:r>
          </w:p>
        </w:tc>
      </w:tr>
      <w:tr>
        <w:trPr>
          <w:trHeight w:val="257"/>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Eansor</w:t>
            </w:r>
          </w:p>
        </w:tc>
        <w:tc>
          <w:tcPr>
            <w:tcW w:w="2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Elms</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spacing w:after="0"/>
              <w:rPr>
                <w:sz w:val="22"/>
                <w:szCs w:val="22"/>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Laskow-Pooley</w:t>
            </w:r>
          </w:p>
        </w:tc>
        <w:tc>
          <w:tcPr>
            <w:tcW w:w="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shd w:val="clear" w:color="auto" w:fill="CCEEFF"/>
          </w:tcPr>
          <w:p>
            <w:pPr>
              <w:spacing w:after="0"/>
              <w:rPr>
                <w:sz w:val="23"/>
                <w:szCs w:val="23"/>
                <w:color w:val="auto"/>
              </w:rPr>
            </w:pP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Wasserman**</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Vera</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Wilson</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X*</w:t>
            </w:r>
          </w:p>
        </w:tc>
      </w:tr>
      <w:tr>
        <w:trPr>
          <w:trHeight w:val="48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fiscal 2021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-1833880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-1833880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-1833880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 w:lineRule="exact"/>
        <w:rPr>
          <w:sz w:val="20"/>
          <w:szCs w:val="20"/>
          <w:color w:val="auto"/>
        </w:rPr>
      </w:pPr>
    </w:p>
    <w:p>
      <w:pPr>
        <w:jc w:val="both"/>
        <w:ind w:left="1620" w:right="419" w:hanging="35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w:t>
        <w:tab/>
        <w:t>Following the expiration of his term as a director at the conclusion of the Annual Meeting, Mr. Wasserman will no longer serve on any committee of the Board.</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36"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17"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Audit Committee currently is composed of four directors: David Eansor, Steven Elms, David Laskow-Pooley and Frederick Wasserman (until the expiration of his term at the conclusion of the Annual Meeting). The Audit Committee met four times during fiscal 2021.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independent (as independence is currently defined in Rule 5605(c)(2)(A)(i) and (ii) of the Nasdaq listing). The Board of Directors has also determined that Mr. Eansor qualifies as an “audit committee financial expert,” as defined in applicable SEC rules.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2021.</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 Chair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ind w:left="1260"/>
        <w:spacing w:after="0" w:line="234" w:lineRule="auto"/>
        <w:rPr>
          <w:sz w:val="20"/>
          <w:szCs w:val="20"/>
          <w:color w:val="auto"/>
        </w:rPr>
      </w:pPr>
      <w:r>
        <w:rPr>
          <w:rFonts w:ascii="Times New Roman" w:cs="Times New Roman" w:eastAsia="Times New Roman" w:hAnsi="Times New Roman"/>
          <w:sz w:val="18"/>
          <w:szCs w:val="18"/>
          <w:color w:val="auto"/>
        </w:rPr>
        <w:t>David Laskow-Pooley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Frederick Wasserman</w:t>
      </w:r>
    </w:p>
    <w:p>
      <w:pPr>
        <w:spacing w:after="0" w:line="19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64" w:lineRule="exact"/>
        <w:rPr>
          <w:sz w:val="20"/>
          <w:szCs w:val="20"/>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4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The Compensation Committee currently is composed of three directors: Steven Elms, David Laskow-Pooley and Frederick Wasserman (until the expiration of his term at the Annual Meeting). The Board intends to appoint a third director to serve on the Compensation Committee following the expiration of Mr. Wasserman’s term at the conclusion of the Annual Meeting. All current and future members of the Company’s Compensation Committee are independent (as independence is currently defined in Rule 5605(d)(2) of the Nasdaq listing standards. The Compensation Committee met four times during fiscal 2021.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pacing w:after="0" w:line="32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2021,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32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Non-Officer Stock Option Subcommittee, currently composed of Peter Hoang,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2021, the subcommittee exercised its authority to grant options to purchase an aggregate of 620,000 shares to non-officer employees.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2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three directors: David Eansor, Frederick Wasserman (until the expiration of his term at the conclusion of the Annual Meeting) and John Wilson. All members of the Nominating and Corporate Governance Committee are independent (as independence is currently defined in Rule 5605(a)(2) of the Nasdaq listing standards). The Nominating and Corporate Governance Committee met four times during fiscal 2021.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continued commitment to diversity and inclusion.</w:t>
      </w:r>
    </w:p>
    <w:p>
      <w:pPr>
        <w:spacing w:after="0" w:line="10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For fiscal year 2021, the Nominating and Corporate Governance Committee engaged and paid a fee to Heidrick &amp; Struggles to assist in the process of identifying and evaluating director candidates, including Dr. Knobil.</w:t>
      </w:r>
    </w:p>
    <w:p>
      <w:pPr>
        <w:spacing w:after="0" w:line="27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and New Enterprise Associates 16, L.P. (“NEA”), pursuant to which NEA may designate either a board observer or a director until a change of control transaction occurs or NEA ceases to own at least 2,500,000 shares of the Company’s common stock. NEA has currently designated a non-voting board observer.</w:t>
      </w:r>
    </w:p>
    <w:p>
      <w:pPr>
        <w:spacing w:after="0" w:line="117" w:lineRule="exact"/>
        <w:rPr>
          <w:sz w:val="20"/>
          <w:szCs w:val="20"/>
          <w:color w:val="auto"/>
        </w:rPr>
      </w:pPr>
    </w:p>
    <w:p>
      <w:pPr>
        <w:jc w:val="both"/>
        <w:ind w:left="1260" w:right="419"/>
        <w:spacing w:after="0" w:line="23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3200 Southwest Freeway, Suite 2500, Houston, Texas 77027,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3200 Southwest Freeway, Suite 2500, Houston, Texas 77027. All communications will be compiled by the Secretary of the Company and submitted to the Board or the individual directors on a periodic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officers, directors and employees, including our principal executive officer, principal financial officer, principal accounting officer or 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57"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3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95" w:lineRule="exact"/>
        <w:rPr>
          <w:sz w:val="20"/>
          <w:szCs w:val="20"/>
          <w:color w:val="auto"/>
        </w:rPr>
      </w:pPr>
    </w:p>
    <w:p>
      <w:pPr>
        <w:jc w:val="both"/>
        <w:ind w:left="1980" w:right="105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1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online at the virtual meeting or represented by proxy and entitled to vote on the matter at the annual meeting. Unless the Board decides to modify its policy regarding the frequency of soliciting say-on-pay votes, the next scheduled say-on-pay vote will be at the 2023 Annual Meeting of Stockholders.</w:t>
      </w:r>
    </w:p>
    <w:p>
      <w:pPr>
        <w:spacing w:after="0" w:line="17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ERTIFICATE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NCREASE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p>
    <w:p>
      <w:pPr>
        <w:spacing w:after="0" w:line="3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p>
    <w:p>
      <w:pPr>
        <w:spacing w:after="0" w:line="13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Board of Directors is requesting stockholder approval of an amendment to the Company’s Certificate of Incorporation to increase the Company’s authorized number of shares of common stock from 150,000,000 shares to 300,000,000 shares. The text of the proposed form of Certificate of Amendment to our Certificate of Incorporation is attached hereto as Appendix A.</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amendment would have rights identical to the currently outstanding common stock of the Company. Adoption of the proposed amendment and issuance of the common stock would not affect the rights of the holders of currently outstanding common stock of the Company, except for effects incidental to increasing the number of shares of the Company’s common stock outstanding, such as dilution of the earnings per share and voting rights of current holders of common stock. If the amendment is adopted, it will become effective upon filing of a Certificate of Amendment of the Company’s Certificate of Incorporation with the Secretary of State of the State of Delaware.</w:t>
      </w:r>
    </w:p>
    <w:p>
      <w:pPr>
        <w:spacing w:after="0" w:line="33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addition to the 83,451,187 shares of common stock outstanding on March 25, 2022, the Board has reserved an aggregate of (i) 3,696,247 shares of common stock for outstanding stock awards granted under the 2020 Equity Incentive Plan, (ii) 845,981 shares of common stock for outstanding stock awards for future issuance under the Company’s 2020 Equity Incentive Plan, (iii) 5,707,800 shares of common stock for outstanding stock awards under the Company’s 2014 Omnibus Stock Option Plan and (iv) 19,829,585 shares of common stock for issuance upon exercise of outstanding warrants. Further, if Proposal 6 is approved, the Board will reserve an additional 8,500,000 shares of common stock for future issuance under the Company’s 2020 Equity Incentive Plan.</w:t>
      </w:r>
    </w:p>
    <w:p>
      <w:pPr>
        <w:spacing w:after="0" w:line="32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Although at present, the Board of Directors has no other plans to issue the additional shares of common stock, the Board desires to have the shares available to provide flexibility to use its capital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the Company’s business or pipeline through the acquisition of other businesses or product candidates; and other purposes.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12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3.</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ROPOSALS</w:t>
      </w:r>
      <w:r>
        <w:rPr>
          <w:rFonts w:ascii="Times New Roman" w:cs="Times New Roman" w:eastAsia="Times New Roman" w:hAnsi="Times New Roman"/>
          <w:sz w:val="20"/>
          <w:szCs w:val="20"/>
          <w:b w:val="1"/>
          <w:bCs w:val="1"/>
          <w:color w:val="auto"/>
        </w:rPr>
        <w:t xml:space="preserve"> 4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5</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ACKGROUND</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Board of Directors has unanimously approved a series of alternate amendments to our Certificate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each of which would:</w:t>
      </w:r>
    </w:p>
    <w:p>
      <w:pPr>
        <w:spacing w:after="0" w:line="84" w:lineRule="exact"/>
        <w:rPr>
          <w:sz w:val="20"/>
          <w:szCs w:val="20"/>
          <w:color w:val="auto"/>
        </w:rPr>
      </w:pPr>
    </w:p>
    <w:p>
      <w:pPr>
        <w:ind w:left="1800" w:right="4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stock split (“Reverse Stock Split”) of all issued and outstanding shares of our common stock, at a ratio ranging from one-for-three (1:3) to one-for-twelve (1:12), inclusive;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reduction in the total number of authorized shares of our common stock (“Authorized Shares Reduction”), with the specific number of authorized shares determined by a formula that is based on the ratio utilized for the Reverse Stock Split.</w:t>
      </w:r>
    </w:p>
    <w:p>
      <w:pPr>
        <w:spacing w:after="0" w:line="10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Accordingly, effecting a Reverse Stock Split would reduce the number of outstanding shares of our common stock and, if Proposal 5 is also approved by our stockholders, the Authorized Shares Reduction would reduce the total number of authorized shares of our common stock. The effectiveness of any one of these amendments and the abandonment of the other amendments, or the abandonment of all of these amendments, will be determined by our Board of Directors following the 2022 Annual Meeting and prior to the date of our 2023 Annual Meeting of Stockholders. Our Board of Directors has recommended that these proposed amendments be presented to our stockholders for approval.</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Our stockholders are being asked to approve these proposed amendments pursuant to Proposals 4 and 5, and to grant authorization to our Board of Directors to determine, in its discretion, whether to implement a Reverse Stock Split, including its specific timing and ratio, and if (and only if) a Reverse Stock Split is implemented, to implement the resulting corresponding Authorized Shares Reduction. The corresponding Authorized Shares Reduction was designed so that we do not have what some stockholders might view as an unreasonably high number of authorized shares of common stock that are unissued or reserved for issuance following a Reverse Stock Split.</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Should we receive the required stockholder approvals for both Proposals 4 and 5, our Board of Directors will have the sole authority to elect, at any time on or prior to the date of our 2023 Annual Meeting of Stockholders, and without the need for any further action on the part of our stockholders: (1) whether to effect a Reverse Stock Split, and (2) if so, the number of whole shares of our common stock, between and including two and ten, that will be combined into one share of our common stock, with the resulting corresponding Authorized Shares Reduction as detailed under the captions “ – Effects of Reverse Stock Split” and “ – Effects of Authorized Shares Reduction” in Proposals 4 and 5, respectively.</w:t>
      </w:r>
    </w:p>
    <w:p>
      <w:pPr>
        <w:spacing w:after="0" w:line="11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implementation of Proposal 5 is expressly conditioned upon the approval and implementation of Proposal 4; if Proposal 4 is not approved and implemented, then Proposal 5 will not be implemented. If we receive the required stockholder approval for Proposal 4 but do not receive the required stockholder approval for Proposal 5, then our Board of Directors will retain the ability to implement a Reverse Stock Split and, if so effected, the total number of authorized shares of our common stock would remain unchanged.</w:t>
      </w:r>
    </w:p>
    <w:p>
      <w:pPr>
        <w:spacing w:after="0" w:line="32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Notwithstanding approval of Proposals 4 and 5 by our stockholders, our Board of Directors may, in its sole discretion, abandon the proposed amendments and determine prior to the effectiveness of any filing with the Secretary of State of the State of Delaware not to effect any Reverse Stock Split and Authorized Shares Reduction, as permitted under Section 242(c) of the General Corporation Law of the State of Delaware. If our Board of Directors does not implement a Reverse Stock Split on or prior to the date of our 2023 Annual Meeting of Stockholders, the Authorized Shares Reduction will not be implemented and stockholder approval would again be required prior to implementing any Reverse Stock Split or Authorized Shares Reduction.</w:t>
      </w:r>
    </w:p>
    <w:p>
      <w:pPr>
        <w:spacing w:after="0" w:line="383" w:lineRule="exact"/>
        <w:rPr>
          <w:sz w:val="20"/>
          <w:szCs w:val="20"/>
          <w:color w:val="auto"/>
        </w:rPr>
      </w:pPr>
    </w:p>
    <w:p>
      <w:pPr>
        <w:jc w:val="both"/>
        <w:ind w:left="1260" w:right="399"/>
        <w:spacing w:after="0" w:line="255" w:lineRule="auto"/>
        <w:rPr>
          <w:sz w:val="20"/>
          <w:szCs w:val="20"/>
          <w:color w:val="auto"/>
        </w:rPr>
      </w:pPr>
      <w:r>
        <w:rPr>
          <w:rFonts w:ascii="Times New Roman" w:cs="Times New Roman" w:eastAsia="Times New Roman" w:hAnsi="Times New Roman"/>
          <w:sz w:val="17"/>
          <w:szCs w:val="17"/>
          <w:b w:val="1"/>
          <w:bCs w:val="1"/>
          <w:color w:val="auto"/>
        </w:rPr>
        <w:t>By approving Proposals 4 and 5, our stockholders will: (a) approve a series of alternate amendments to our Certificate of Incorporation pursuant to which (i) any whole number of outstanding shares of common stock between and including three (3) and twelve (12) could be combined into one share of common stock and (ii) the total number of authorized shares of our common stock would be reduced as detailed in Proposals 4 and 5; and</w:t>
      </w:r>
    </w:p>
    <w:p>
      <w:pPr>
        <w:spacing w:after="0" w:line="3" w:lineRule="exact"/>
        <w:rPr>
          <w:sz w:val="20"/>
          <w:szCs w:val="20"/>
          <w:color w:val="auto"/>
        </w:rPr>
      </w:pPr>
    </w:p>
    <w:p>
      <w:pPr>
        <w:jc w:val="both"/>
        <w:ind w:left="1260" w:right="419"/>
        <w:spacing w:after="0" w:line="239" w:lineRule="auto"/>
        <w:tabs>
          <w:tab w:leader="none" w:pos="152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 our Board of Directors to file only one such amendment, as determined by the Board in its sole discretion, and to abandon each amendment not selected by the Board. Our Board of Directors may also elect not to undertake any Reverse Stock Split and therefore abandon all amendments.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4</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EVERSE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PLIT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w:t>
      </w:r>
    </w:p>
    <w:p>
      <w:pPr>
        <w:spacing w:after="0" w:line="15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Amended and Restated Certificate of Incorporation to effect a Reverse Stock Split. The text of the proposed form of Certificate of Amendment to our Certificate of Incorporation, which we refer to as the Reverse Split Certificate of Amendment, is attached hereto as Appendix B.</w:t>
      </w:r>
    </w:p>
    <w:p>
      <w:pPr>
        <w:spacing w:after="0" w:line="11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are proposing that our Board of Directors have the discretion to select the Reverse Stock Split ratio from within a range between and including one-for-three (1:3) and one-for-twelve (1:12), rather than proposing that stockholders approve a specific ratio at this time, in order to give our Board of Directors the flexibility to implement a Reverse Stock Split at a ratio that reflects the Board’s then-current assessment of the factors described below under “– Criteria to be Used for Determining Whether to Implement the Reverse Stock Split.” If the Board decides to implement a Reverse Stock Split, we will file the Reverse Split Certificate of Amendment with the Secretary of State of the State of Delaware and the Reverse Stock Split will be effective when it is filed with the Secretary of State of the State of Delaware, or such later time as is chosen by the Board and set forth in the Reverse Split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6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To maintain our listing on The Nasdaq Global Market</w:t>
      </w:r>
      <w:r>
        <w:rPr>
          <w:rFonts w:ascii="Times New Roman" w:cs="Times New Roman" w:eastAsia="Times New Roman" w:hAnsi="Times New Roman"/>
          <w:sz w:val="18"/>
          <w:szCs w:val="18"/>
          <w:color w:val="auto"/>
        </w:rPr>
        <w:t>. By potentially increasing our stock price,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would reduce the risk that our common stock could be delisted from The Nasdaq Global Market. To continue our listing on The Nasdaq Global Market, we must comply with Nasdaq Marketplace Rules, which requirements include a minimum bid price of $1.00 per share. On February 16, 2022, we were notified by the Nasdaq Stock Market that we do not comply with the $1.00 minimum bid price requirement as our common stock had traded below the $1.00 minimum bid price for 30 consecutive business days. We were automatically provided with a 180 calendar-day period, ending on August 15, 2022, within which to regain compliance. To regain compliance, our common stock must close at or above the $1.00 minimum bid price for at least 10 consecutive days or more. If we do not regain compliance by August 15, 2022, we may be eligible for an additional 180 calendar-day compliance period if we elect to transfer to The Nasdaq Capital Market. To qualify, we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Our failure to regain compliance during this period could result in delisting.</w:t>
      </w:r>
    </w:p>
    <w:p>
      <w:pPr>
        <w:spacing w:after="0" w:line="33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Board of Directors has considered the potential harm to us and our stockholders should Nasdaq delist our common stock from The Nasdaq Stock Market.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spacing w:after="0" w:line="12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the proposed Reverse Stock Split is a potentially effective means for us to maintain compliance with the $1.00 minimum bid requirement and to avoid, or at least mitigate, the likely adverse consequences of our common stock being delisted from The Nasdaq Stock Market by producing the immediate effect of increasing the bid price of our common stock.</w:t>
      </w:r>
    </w:p>
    <w:p>
      <w:pPr>
        <w:spacing w:after="0" w:line="11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 potentially improve the marketability and liquidity of our common stock. </w:t>
      </w:r>
      <w:r>
        <w:rPr>
          <w:rFonts w:ascii="Times New Roman" w:cs="Times New Roman" w:eastAsia="Times New Roman" w:hAnsi="Times New Roman"/>
          <w:sz w:val="18"/>
          <w:szCs w:val="18"/>
          <w:color w:val="auto"/>
        </w:rPr>
        <w:t>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increased market price per share of our common stock expected as a result of implementing a Reverse Stock Split could improve the marketability and liquidity of our common stock and encourage interest and trading in our common stock.</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Requirements: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Investors may be dissuaded from purchasing stocks below certain prices because brokers’ commissions, as a percentage of the total transaction value, can be higher for low-priced stocks.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and which Reverse Stock Split ratio to implement, if any, following receipt of stockholder approval of Proposal 4, our Board of Directors may consider, among other things, various factors, such as:</w:t>
      </w:r>
    </w:p>
    <w:p>
      <w:pPr>
        <w:spacing w:after="0" w:line="68"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for our common stock on The Nasdaq Stock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15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failure of our stockholders to approve this Proposal 4 could have serious, adverse effects on us and our stockholders. We could be delisted from The Nasdaq Stock Market because shares of our common stock may continue to trade below the requisite $1.00 per share bid price needed to maintain our listing. If The Nasdaq Stock Market delists our common stock, our shares may then trade on the OTC Bulletin Board or other small trading markets, such as the pink sheets. In that event, our common stock could trade thinly as a microcap or penny stock, adversely decrease to nominal levels of trading and be avoided by retail and institutional investors, resulting in the impaired liquidity of our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Reverse Stock Split</w:t>
      </w:r>
    </w:p>
    <w:p>
      <w:pPr>
        <w:spacing w:after="0" w:line="14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We cannot assure you that the proposed Reverse Stock Split will increase our stock price and have the desired effect of maintaining compliance with Nasdaq Marketplace Rules. </w:t>
      </w:r>
      <w:r>
        <w:rPr>
          <w:rFonts w:ascii="Times New Roman" w:cs="Times New Roman" w:eastAsia="Times New Roman" w:hAnsi="Times New Roman"/>
          <w:sz w:val="18"/>
          <w:szCs w:val="18"/>
          <w:color w:val="auto"/>
        </w:rPr>
        <w:t>The Board of Directors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Reverse Stock Split will increase the market price of our common stock so that we may be able to regain and maintain compliance with the Nasdaq $1.00 minimum bid price requirement.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market price per post-Reverse Stock Split share may not exceed or remain in excess of the $1.00 minimum bid price for a sustained period of time,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 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Stock Split is consummated and the trading price of the common stock declines, the percentage decline as an absolute number and as a percentage of our overall market capitalization may be greater than would occur in the absence of the Reverse Stock Split.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w:t>
      </w:r>
    </w:p>
    <w:p>
      <w:pPr>
        <w:spacing w:after="0" w:line="309"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i w:val="1"/>
          <w:iCs w:val="1"/>
          <w:color w:val="auto"/>
        </w:rPr>
        <w:t xml:space="preserve">The proposed Reverse Stock Split may decrease the liquidity of our common stock and result in higher transaction costs. </w:t>
      </w:r>
      <w:r>
        <w:rPr>
          <w:rFonts w:ascii="Times New Roman" w:cs="Times New Roman" w:eastAsia="Times New Roman" w:hAnsi="Times New Roman"/>
          <w:sz w:val="18"/>
          <w:szCs w:val="18"/>
          <w:color w:val="auto"/>
        </w:rPr>
        <w:t>The liquidity of our common stock may be negatively impacted by a Reverse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315"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i w:val="1"/>
          <w:iCs w:val="1"/>
          <w:color w:val="auto"/>
        </w:rPr>
        <w:t xml:space="preserve">The effective increase in the authorized number of shares of our common stock as a result of the Reverse Stock Split could have anti-takeover implications. </w:t>
      </w:r>
      <w:r>
        <w:rPr>
          <w:rFonts w:ascii="Times New Roman" w:cs="Times New Roman" w:eastAsia="Times New Roman" w:hAnsi="Times New Roman"/>
          <w:sz w:val="18"/>
          <w:szCs w:val="18"/>
          <w:color w:val="auto"/>
        </w:rPr>
        <w:t>The implementation of a Reverse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result in an effective increase in the authorized number of shares of our common stock relative to the number of shares outstanding, which could, under certain circumstances, have anti-takeover implications. The additional shares of common stock that would become available for issuance if this Proposal 4 is approved and a Reverse Stock Split is implemented could be used by us to oppose a hostile takeover attempt or to delay or prevent changes in control or our management. For example, without further stockholder approval, the Board could adopt a “poison pill” which would, under certain circumstances 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4 has been prompted by business and financial considerations and not by the threat of any hostile takeover attempt (nor is the Board currently aware of any such attempts directed at us), stockholders should be aware that approval of this Proposal 4 could facilitate future efforts by us to deter or prevent changes in control, including transactions in which the stockholders might otherwise receive a premium for their shares over then current market prices.</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Effects of Reverse Stock Split</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Marker,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principal effects of a Reverse Stock Split will be that:</w:t>
      </w:r>
    </w:p>
    <w:p>
      <w:pPr>
        <w:spacing w:after="0" w:line="117" w:lineRule="exact"/>
        <w:rPr>
          <w:sz w:val="20"/>
          <w:szCs w:val="20"/>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three to twelve shares of our common stock owned by a stockholder (depending on the Reverse Stock Split ratio selected by the Board), will be combined into one new share of our common stock;</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5 is approved by our stockholders, then, depending on the Reverse Stock Split ratio selected by the Board, the total number of authorized shares of our common stock will be reduced as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1260"/>
        <w:spacing w:after="0" w:line="275" w:lineRule="auto"/>
        <w:rPr>
          <w:sz w:val="20"/>
          <w:szCs w:val="20"/>
          <w:color w:val="auto"/>
        </w:rPr>
      </w:pPr>
      <w:r>
        <w:rPr>
          <w:rFonts w:ascii="Times New Roman" w:cs="Times New Roman" w:eastAsia="Times New Roman" w:hAnsi="Times New Roman"/>
          <w:sz w:val="18"/>
          <w:szCs w:val="18"/>
          <w:color w:val="auto"/>
        </w:rPr>
        <w:t>and as shown in the table below (in each case, as described above, this will result in an effective increase in the authorized number of shares of our common stock relative to the number of shares outstanding):</w:t>
      </w:r>
    </w:p>
    <w:p>
      <w:pPr>
        <w:spacing w:after="0" w:line="295" w:lineRule="exact"/>
        <w:rPr>
          <w:sz w:val="20"/>
          <w:szCs w:val="20"/>
          <w:color w:val="auto"/>
        </w:rPr>
      </w:pPr>
    </w:p>
    <w:p>
      <w:pPr>
        <w:ind w:left="2160" w:right="1260" w:hanging="180"/>
        <w:spacing w:after="0" w:line="282" w:lineRule="auto"/>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approved, from 300,000,000 shares outstanding to a range of 25,000,000 to 100,000,000 shares;</w:t>
      </w:r>
    </w:p>
    <w:p>
      <w:pPr>
        <w:spacing w:after="0" w:line="80" w:lineRule="exact"/>
        <w:rPr>
          <w:rFonts w:ascii="Times New Roman" w:cs="Times New Roman" w:eastAsia="Times New Roman" w:hAnsi="Times New Roman"/>
          <w:sz w:val="18"/>
          <w:szCs w:val="18"/>
          <w:color w:val="auto"/>
        </w:rPr>
      </w:pPr>
    </w:p>
    <w:p>
      <w:pPr>
        <w:ind w:left="2160" w:right="1260" w:hanging="180"/>
        <w:spacing w:after="0" w:line="282" w:lineRule="auto"/>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not approved, from 150,000,000 shares outstanding to a range of 12,500,000 to 50,000,000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5 is not approved by our stockholders:</w:t>
      </w:r>
    </w:p>
    <w:p>
      <w:pPr>
        <w:spacing w:after="0" w:line="144" w:lineRule="exact"/>
        <w:rPr>
          <w:rFonts w:ascii="Times New Roman" w:cs="Times New Roman" w:eastAsia="Times New Roman" w:hAnsi="Times New Roman"/>
          <w:sz w:val="18"/>
          <w:szCs w:val="18"/>
          <w:color w:val="auto"/>
        </w:rPr>
      </w:pPr>
    </w:p>
    <w:p>
      <w:pPr>
        <w:jc w:val="both"/>
        <w:ind w:left="2160" w:right="1260" w:hanging="180"/>
        <w:spacing w:after="0" w:line="266" w:lineRule="auto"/>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if Proposal 3 is approved, the total number of authorized shares of our common stock will remain at 300,000,000, resulting in an effective increase in the authorized number of shares of our common stock relative to the number of shares outstanding;</w:t>
      </w:r>
    </w:p>
    <w:p>
      <w:pPr>
        <w:spacing w:after="0" w:line="94" w:lineRule="exact"/>
        <w:rPr>
          <w:rFonts w:ascii="Times New Roman" w:cs="Times New Roman" w:eastAsia="Times New Roman" w:hAnsi="Times New Roman"/>
          <w:sz w:val="18"/>
          <w:szCs w:val="18"/>
          <w:color w:val="auto"/>
        </w:rPr>
      </w:pPr>
    </w:p>
    <w:p>
      <w:pPr>
        <w:jc w:val="both"/>
        <w:ind w:left="2160" w:right="1260" w:hanging="180"/>
        <w:spacing w:after="0" w:line="266" w:lineRule="auto"/>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if Proposal 3 is not approved, the total number of authorized shares of our common stock will remain at 150,000,000, resulting in an effective increase in the authorized number of shares of our common stock relative to the number of shares outstanding;</w:t>
      </w:r>
    </w:p>
    <w:p>
      <w:pPr>
        <w:spacing w:after="0" w:line="81" w:lineRule="exact"/>
        <w:rPr>
          <w:rFonts w:ascii="Times New Roman" w:cs="Times New Roman" w:eastAsia="Times New Roman" w:hAnsi="Times New Roman"/>
          <w:sz w:val="18"/>
          <w:szCs w:val="18"/>
          <w:color w:val="auto"/>
        </w:rPr>
      </w:pPr>
    </w:p>
    <w:p>
      <w:pPr>
        <w:jc w:val="both"/>
        <w:ind w:left="1800" w:right="1260" w:hanging="180"/>
        <w:spacing w:after="0" w:line="25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spacing w:after="0" w:line="322" w:lineRule="exact"/>
        <w:rPr>
          <w:rFonts w:ascii="Times New Roman" w:cs="Times New Roman" w:eastAsia="Times New Roman" w:hAnsi="Times New Roman"/>
          <w:sz w:val="18"/>
          <w:szCs w:val="18"/>
          <w:color w:val="auto"/>
        </w:rPr>
      </w:pPr>
    </w:p>
    <w:p>
      <w:pPr>
        <w:ind w:left="1800" w:right="1260"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then reserved for issuance under our equity compensation plans will be reduced proportionately based upon the Reverse Stock Split ratio selected by the Board.</w:t>
      </w:r>
    </w:p>
    <w:p>
      <w:pPr>
        <w:spacing w:after="0" w:line="81" w:lineRule="exact"/>
        <w:rPr>
          <w:sz w:val="20"/>
          <w:szCs w:val="20"/>
          <w:color w:val="auto"/>
        </w:rPr>
      </w:pPr>
    </w:p>
    <w:p>
      <w:pPr>
        <w:jc w:val="both"/>
        <w:ind w:left="1260" w:right="12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contains approximate information, based on share information as of March 25, 2022, relating to our outstanding common stock based on the proposed Reverse Stock Split ratios (without giving effect to the treatment of fractional shares), and information regarding our authorized shares </w:t>
      </w:r>
      <w:r>
        <w:rPr>
          <w:rFonts w:ascii="Times New Roman" w:cs="Times New Roman" w:eastAsia="Times New Roman" w:hAnsi="Times New Roman"/>
          <w:sz w:val="18"/>
          <w:szCs w:val="18"/>
          <w:b w:val="1"/>
          <w:bCs w:val="1"/>
          <w:color w:val="auto"/>
        </w:rPr>
        <w:t>assuming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Proposal 5 is approved </w:t>
      </w:r>
      <w:r>
        <w:rPr>
          <w:rFonts w:ascii="Times New Roman" w:cs="Times New Roman" w:eastAsia="Times New Roman" w:hAnsi="Times New Roman"/>
          <w:sz w:val="18"/>
          <w:szCs w:val="18"/>
          <w:color w:val="auto"/>
        </w:rPr>
        <w:t>and the corresponding Authorized Shares Reduction is implemented: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approved: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20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Authorized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vMerge w:val="restart"/>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20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vMerge w:val="continue"/>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300,000,000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186,469,200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100,000,000</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62,156,400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75,000,000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46,617,300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60,000,000</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37,293,840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50,000,000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31,078,200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42,857,143</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26,638,457</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37,500,000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23,308,650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33,333,333</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20,718,800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30,000,000</w:t>
            </w:r>
          </w:p>
        </w:tc>
        <w:tc>
          <w:tcPr>
            <w:tcW w:w="138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18,646,920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27,272,727</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16,951,745</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272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18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25,000,000</w:t>
            </w:r>
          </w:p>
        </w:tc>
        <w:tc>
          <w:tcPr>
            <w:tcW w:w="1380" w:type="dxa"/>
            <w:vAlign w:val="bottom"/>
            <w:tcBorders>
              <w:bottom w:val="single" w:sz="8" w:color="CCEDFF"/>
            </w:tcBorders>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tcBorders>
              <w:bottom w:val="single" w:sz="8" w:color="CCEDFF"/>
            </w:tcBorders>
            <w:shd w:val="clear" w:color="auto" w:fill="CCEDFF"/>
          </w:tcPr>
          <w:p>
            <w:pPr>
              <w:spacing w:after="0"/>
              <w:rPr>
                <w:sz w:val="24"/>
                <w:szCs w:val="24"/>
                <w:color w:val="auto"/>
              </w:rPr>
            </w:pPr>
          </w:p>
        </w:tc>
        <w:tc>
          <w:tcPr>
            <w:tcW w:w="12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tcBorders>
              <w:bottom w:val="single" w:sz="8" w:color="CCEDFF"/>
            </w:tcBorders>
            <w:shd w:val="clear" w:color="auto" w:fill="CCEDFF"/>
          </w:tcPr>
          <w:p>
            <w:pPr>
              <w:spacing w:after="0"/>
              <w:rPr>
                <w:sz w:val="24"/>
                <w:szCs w:val="24"/>
                <w:color w:val="auto"/>
              </w:rPr>
            </w:pPr>
          </w:p>
        </w:tc>
        <w:tc>
          <w:tcPr>
            <w:tcW w:w="132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15,539,100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-2579370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-2579370</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-2579370</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-2579370</wp:posOffset>
            </wp:positionV>
            <wp:extent cx="120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9" w:name="page30"/>
    <w:bookmarkEnd w:id="2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not approved: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Authorized</w:t>
            </w:r>
          </w:p>
        </w:tc>
        <w:tc>
          <w:tcPr>
            <w:tcW w:w="0" w:type="dxa"/>
            <w:vAlign w:val="bottom"/>
          </w:tcPr>
          <w:p>
            <w:pPr>
              <w:spacing w:after="0"/>
              <w:rPr>
                <w:sz w:val="1"/>
                <w:szCs w:val="1"/>
                <w:color w:val="auto"/>
              </w:rPr>
            </w:pPr>
          </w:p>
        </w:tc>
      </w:tr>
      <w:tr>
        <w:trPr>
          <w:trHeight w:val="176"/>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vMerge w:val="restart"/>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0" w:type="dxa"/>
            <w:vAlign w:val="bottom"/>
          </w:tcPr>
          <w:p>
            <w:pPr>
              <w:spacing w:after="0"/>
              <w:rPr>
                <w:sz w:val="1"/>
                <w:szCs w:val="1"/>
                <w:color w:val="auto"/>
              </w:rPr>
            </w:pPr>
          </w:p>
        </w:tc>
      </w:tr>
      <w:tr>
        <w:trPr>
          <w:trHeight w:val="241"/>
        </w:trPr>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vMerge w:val="continue"/>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0" w:type="dxa"/>
            <w:vAlign w:val="bottom"/>
          </w:tcPr>
          <w:p>
            <w:pPr>
              <w:spacing w:after="0"/>
              <w:rPr>
                <w:sz w:val="1"/>
                <w:szCs w:val="1"/>
                <w:color w:val="auto"/>
              </w:rPr>
            </w:pPr>
          </w:p>
        </w:tc>
      </w:tr>
      <w:tr>
        <w:trPr>
          <w:trHeight w:val="266"/>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36,469,200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12,156,400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37,500,000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9,117,300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7,293,840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25,000,000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6,078,200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21,428,571</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5,209,886</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18,750,000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4,558,650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16,666,667</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4,052,133</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15,000,000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3,646,920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13,636,364</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tcPr>
          <w:p>
            <w:pPr>
              <w:spacing w:after="0"/>
              <w:rPr>
                <w:sz w:val="23"/>
                <w:szCs w:val="23"/>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3,315,382</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18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12,500,000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3,039,100</w:t>
            </w:r>
          </w:p>
        </w:tc>
        <w:tc>
          <w:tcPr>
            <w:tcW w:w="0" w:type="dxa"/>
            <w:vAlign w:val="bottom"/>
          </w:tcPr>
          <w:p>
            <w:pPr>
              <w:spacing w:after="0"/>
              <w:rPr>
                <w:sz w:val="1"/>
                <w:szCs w:val="1"/>
                <w:color w:val="auto"/>
              </w:rPr>
            </w:pPr>
          </w:p>
        </w:tc>
      </w:tr>
      <w:tr>
        <w:trPr>
          <w:trHeight w:val="54"/>
        </w:trPr>
        <w:tc>
          <w:tcPr>
            <w:tcW w:w="252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120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-1927860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-1927860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-1927860</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-1927860</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contains approximate information, based on share information as of March 25, 2022, relating to our outstanding common stock based on the proposed Reverse Stock Split ratios assuming that </w:t>
      </w:r>
      <w:r>
        <w:rPr>
          <w:rFonts w:ascii="Times New Roman" w:cs="Times New Roman" w:eastAsia="Times New Roman" w:hAnsi="Times New Roman"/>
          <w:sz w:val="18"/>
          <w:szCs w:val="18"/>
          <w:b w:val="1"/>
          <w:bCs w:val="1"/>
          <w:color w:val="auto"/>
        </w:rPr>
        <w:t xml:space="preserve">Proposal 5 is not approved </w:t>
      </w:r>
      <w:r>
        <w:rPr>
          <w:rFonts w:ascii="Times New Roman" w:cs="Times New Roman" w:eastAsia="Times New Roman" w:hAnsi="Times New Roman"/>
          <w:sz w:val="18"/>
          <w:szCs w:val="18"/>
          <w:color w:val="auto"/>
        </w:rPr>
        <w:t>(without giving effect to the treatment of fractional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approved: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0" w:type="dxa"/>
            <w:vAlign w:val="bottom"/>
          </w:tcPr>
          <w:p>
            <w:pPr>
              <w:spacing w:after="0"/>
              <w:rPr>
                <w:sz w:val="1"/>
                <w:szCs w:val="1"/>
                <w:color w:val="auto"/>
              </w:rPr>
            </w:pPr>
          </w:p>
        </w:tc>
      </w:tr>
      <w:tr>
        <w:trPr>
          <w:trHeight w:val="175"/>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vMerge w:val="restart"/>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0" w:type="dxa"/>
            <w:vAlign w:val="bottom"/>
          </w:tcPr>
          <w:p>
            <w:pPr>
              <w:spacing w:after="0"/>
              <w:rPr>
                <w:sz w:val="1"/>
                <w:szCs w:val="1"/>
                <w:color w:val="auto"/>
              </w:rPr>
            </w:pPr>
          </w:p>
        </w:tc>
      </w:tr>
      <w:tr>
        <w:trPr>
          <w:trHeight w:val="241"/>
        </w:trPr>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vMerge w:val="continue"/>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0" w:type="dxa"/>
            <w:vAlign w:val="bottom"/>
          </w:tcPr>
          <w:p>
            <w:pPr>
              <w:spacing w:after="0"/>
              <w:rPr>
                <w:sz w:val="1"/>
                <w:szCs w:val="1"/>
                <w:color w:val="auto"/>
              </w:rPr>
            </w:pPr>
          </w:p>
        </w:tc>
      </w:tr>
      <w:tr>
        <w:trPr>
          <w:trHeight w:val="266"/>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186,469,200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262,156,400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271,617,300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277,293,840</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281,078,200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283,781,314</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285,808,650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287,385,467</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288,646,920</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tcPr>
          <w:p>
            <w:pPr>
              <w:spacing w:after="0"/>
              <w:rPr>
                <w:sz w:val="23"/>
                <w:szCs w:val="2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289,679,018</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1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300,000,000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290,539,100</w:t>
            </w:r>
          </w:p>
        </w:tc>
        <w:tc>
          <w:tcPr>
            <w:tcW w:w="0" w:type="dxa"/>
            <w:vAlign w:val="bottom"/>
          </w:tcPr>
          <w:p>
            <w:pPr>
              <w:spacing w:after="0"/>
              <w:rPr>
                <w:sz w:val="1"/>
                <w:szCs w:val="1"/>
                <w:color w:val="auto"/>
              </w:rPr>
            </w:pPr>
          </w:p>
        </w:tc>
      </w:tr>
      <w:tr>
        <w:trPr>
          <w:trHeight w:val="54"/>
        </w:trPr>
        <w:tc>
          <w:tcPr>
            <w:tcW w:w="252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200" w:type="dxa"/>
            <w:vAlign w:val="bottom"/>
            <w:shd w:val="clear" w:color="auto" w:fill="CCEDFF"/>
          </w:tcPr>
          <w:p>
            <w:pPr>
              <w:spacing w:after="0"/>
              <w:rPr>
                <w:sz w:val="4"/>
                <w:szCs w:val="4"/>
                <w:color w:val="auto"/>
              </w:rPr>
            </w:pPr>
          </w:p>
        </w:tc>
        <w:tc>
          <w:tcPr>
            <w:tcW w:w="118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120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-1927860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-1927860</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-1927860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-1927860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Assuming that Proposal 3 is not approved:</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Shares of</w:t>
            </w: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Authorized</w:t>
            </w:r>
          </w:p>
        </w:tc>
        <w:tc>
          <w:tcPr>
            <w:tcW w:w="0" w:type="dxa"/>
            <w:vAlign w:val="bottom"/>
          </w:tcPr>
          <w:p>
            <w:pPr>
              <w:spacing w:after="0"/>
              <w:rPr>
                <w:sz w:val="1"/>
                <w:szCs w:val="1"/>
                <w:color w:val="auto"/>
              </w:rPr>
            </w:pPr>
          </w:p>
        </w:tc>
      </w:tr>
      <w:tr>
        <w:trPr>
          <w:trHeight w:val="176"/>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0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Issued and</w:t>
            </w:r>
          </w:p>
        </w:tc>
        <w:tc>
          <w:tcPr>
            <w:tcW w:w="14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Reserved for</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but Unissued and</w:t>
            </w:r>
          </w:p>
        </w:tc>
        <w:tc>
          <w:tcPr>
            <w:tcW w:w="0" w:type="dxa"/>
            <w:vAlign w:val="bottom"/>
          </w:tcPr>
          <w:p>
            <w:pPr>
              <w:spacing w:after="0"/>
              <w:rPr>
                <w:sz w:val="1"/>
                <w:szCs w:val="1"/>
                <w:color w:val="auto"/>
              </w:rPr>
            </w:pPr>
          </w:p>
        </w:tc>
      </w:tr>
      <w:tr>
        <w:trPr>
          <w:trHeight w:val="241"/>
        </w:trPr>
        <w:tc>
          <w:tcPr>
            <w:tcW w:w="25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 w:type="dxa"/>
            <w:vAlign w:val="bottom"/>
            <w:tcBorders>
              <w:bottom w:val="single" w:sz="8" w:color="CCEDFF"/>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Future Issuance</w:t>
            </w:r>
          </w:p>
        </w:tc>
        <w:tc>
          <w:tcPr>
            <w:tcW w:w="220" w:type="dxa"/>
            <w:vAlign w:val="bottom"/>
            <w:tcBorders>
              <w:bottom w:val="single" w:sz="8" w:color="CCED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Unreserved</w:t>
            </w:r>
          </w:p>
        </w:tc>
        <w:tc>
          <w:tcPr>
            <w:tcW w:w="0" w:type="dxa"/>
            <w:vAlign w:val="bottom"/>
          </w:tcPr>
          <w:p>
            <w:pPr>
              <w:spacing w:after="0"/>
              <w:rPr>
                <w:sz w:val="1"/>
                <w:szCs w:val="1"/>
                <w:color w:val="auto"/>
              </w:rPr>
            </w:pPr>
          </w:p>
        </w:tc>
      </w:tr>
      <w:tr>
        <w:trPr>
          <w:trHeight w:val="252"/>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1"/>
                <w:szCs w:val="21"/>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83,451,187</w:t>
            </w:r>
          </w:p>
        </w:tc>
        <w:tc>
          <w:tcPr>
            <w:tcW w:w="180" w:type="dxa"/>
            <w:vAlign w:val="bottom"/>
            <w:shd w:val="clear" w:color="auto" w:fill="CCEDFF"/>
          </w:tcPr>
          <w:p>
            <w:pPr>
              <w:spacing w:after="0"/>
              <w:rPr>
                <w:sz w:val="21"/>
                <w:szCs w:val="21"/>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30,079,613</w:t>
            </w:r>
          </w:p>
        </w:tc>
        <w:tc>
          <w:tcPr>
            <w:tcW w:w="220" w:type="dxa"/>
            <w:vAlign w:val="bottom"/>
            <w:shd w:val="clear" w:color="auto" w:fill="CCEDFF"/>
          </w:tcPr>
          <w:p>
            <w:pPr>
              <w:spacing w:after="0"/>
              <w:rPr>
                <w:sz w:val="21"/>
                <w:szCs w:val="21"/>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36,469,200</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2"/>
                <w:szCs w:val="22"/>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27,817,062</w:t>
            </w:r>
          </w:p>
        </w:tc>
        <w:tc>
          <w:tcPr>
            <w:tcW w:w="180" w:type="dxa"/>
            <w:vAlign w:val="bottom"/>
          </w:tcPr>
          <w:p>
            <w:pPr>
              <w:spacing w:after="0"/>
              <w:rPr>
                <w:sz w:val="22"/>
                <w:szCs w:val="22"/>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10,026,538</w:t>
            </w:r>
          </w:p>
        </w:tc>
        <w:tc>
          <w:tcPr>
            <w:tcW w:w="220" w:type="dxa"/>
            <w:vAlign w:val="bottom"/>
          </w:tcPr>
          <w:p>
            <w:pPr>
              <w:spacing w:after="0"/>
              <w:rPr>
                <w:sz w:val="22"/>
                <w:szCs w:val="22"/>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112,156,400</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20,862,797</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7,519,903</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121,617,300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16,690,237</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6,015,923</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127,293,840</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13,908,531</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5,013,269</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131,078,200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11,921,598</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4,297,088</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133,781,314</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10,431,398</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3,759,952</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135,808,650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9,272,354</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3,342,179</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137,385,467</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8,345,119</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3,007,961</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138,646,920</w:t>
            </w:r>
          </w:p>
        </w:tc>
        <w:tc>
          <w:tcPr>
            <w:tcW w:w="0" w:type="dxa"/>
            <w:vAlign w:val="bottom"/>
          </w:tcPr>
          <w:p>
            <w:pPr>
              <w:spacing w:after="0"/>
              <w:rPr>
                <w:sz w:val="1"/>
                <w:szCs w:val="1"/>
                <w:color w:val="auto"/>
              </w:rPr>
            </w:pPr>
          </w:p>
        </w:tc>
      </w:tr>
      <w:tr>
        <w:trPr>
          <w:trHeight w:val="270"/>
        </w:trPr>
        <w:tc>
          <w:tcPr>
            <w:tcW w:w="25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380" w:type="dxa"/>
            <w:vAlign w:val="bottom"/>
            <w:gridSpan w:val="2"/>
            <w:shd w:val="clear" w:color="auto" w:fill="CCED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7,586,472</w:t>
            </w:r>
          </w:p>
        </w:tc>
        <w:tc>
          <w:tcPr>
            <w:tcW w:w="18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2,734,510</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139,679,018</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150,000,000</w:t>
            </w:r>
          </w:p>
        </w:tc>
        <w:tc>
          <w:tcPr>
            <w:tcW w:w="20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6,954,266</w:t>
            </w:r>
          </w:p>
        </w:tc>
        <w:tc>
          <w:tcPr>
            <w:tcW w:w="18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2,506,634</w:t>
            </w:r>
          </w:p>
        </w:tc>
        <w:tc>
          <w:tcPr>
            <w:tcW w:w="22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140,539,100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-1877060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-1877060</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-1877060</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-1877060</wp:posOffset>
            </wp:positionV>
            <wp:extent cx="120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our common stock would have a new committee on uniform securities identification procedures, or CUSIP number, a number used to identify our common stock.</w:t>
      </w:r>
    </w:p>
    <w:p>
      <w:pPr>
        <w:spacing w:after="0" w:line="9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and we are subject to the periodic reporting and other requirements of the Securities Exchange Act of 1934, as amended, or the Exchange Act. The implementation of any proposed Reverse Stock Split will not affect the registration of our common stock under the Exchange Act. Our common stock would continue to be listed on The Nasdaq Global Market under the symbol “MRKR”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4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of Directors within the limits set forth in this Proposal 4.</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Payment In Lieu of Fractional Shares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any Reverse Stock Split. Instead, in lieu of any fractional shares to which a holder of common stock would otherwise be entitled as a result of the Reverse Stock Split, Marker will pay cash (without interest) equal to such fraction multiplied by the average of the closing sales prices of the common stock on The Nasdaq Global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As of March 1, 2022, there were 398 stockholders of record of our common stock, which number of record holders includes those holders who are deemed record holders for purposes of the Exchange Act. Upon stockholder approval of this Proposal 4,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five shares of common stock immediately prior to the Reverse Stock Split and the Reverse Stock Split ratio selected by the Board was 1:10, then such stockholder would cease to be a stockholder of Marker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and Beneficial Stockholders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If this Proposal 4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p>
    <w:p>
      <w:pPr>
        <w:spacing w:after="0" w:line="311"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If this Proposal 4 is approved by our stockholders and our Board of Directors elects to implement a Reverse Stock Split, stockholders of record holding some or all of their shares in certificate form will receive a letter of transmittal from Marker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p>
    <w:p>
      <w:pPr>
        <w:spacing w:after="0" w:line="30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STOCKHOLDERS SHOULD NOT DESTROY ANY PRE -SPLIT STOCK CERTIFICATE AND SHOULD NOT SUBMIT ANY CERTIFICATES UNTIL THEY ARE REQUESTED TO DO SO.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4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$0.001 per share after any Reverse Stock Split. As a result, on the Reverse Split Effective Date, the stated capital on our balance sheet attributable to the common stock would be reduced proportionally, based on the actual Reverse Stock Split ratio, from its present amount, and the additional paid- in capital account would be credited with the amount by which the stated capital would be reduced. The per share common stock net income or loss and net book value would be increased because there would be fewer shares of common stock outstanding. The Reverse Stock Split would be reflected retroactively in our consolidated financial statements. We do not anticipate that any other accounting consequences would arise as a result of any Reverse Stock Split.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proposed alternate amendments to our Amended and Restated Certificate of Incorporation to allow for a Reverse Stock Split and, if Proposal 5 is approved, to effect the corresponding Authorized Shares Reduction, and we will not independently provide the stockholders with any such right if any Reverse Stock Split and the corresponding Authorized Shares Reduction are implemented.</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Federal Income Tax Consequences to U.S. Holders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“Code”), Treasury Regulations thereunder and administrative rulings, court decisions and other legal authorities related thereto, each as in effect as of the date of this proxy statement and all of which are subject to change or differing interpretations. Any such change or differing interpretation, which may or may not be retroactive, could alter the tax consequences to the stockholders described herein. This discussion is included for general informational purposes only and does not purport to consider all aspects of U.S. federal income taxation that might be relevant to a U.S. Holder.</w:t>
      </w:r>
    </w:p>
    <w:p>
      <w:pPr>
        <w:spacing w:after="0" w:line="121"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discussion below only addresses stockholders who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who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the exercise of warrants, stock options or stock purchase plans or other employee plans or compensatory arrangements, stockholders whose functional currency is not the U.S. dollar, partnerships or other entities classified as partnerships or disregarded entities for U.S. federal income tax purposes (or persons holding our common stock through such entities), stockholders who hold their stock as part of an integrated investment (including a “straddle,” a pledge against currency risk, a hedge or other “constructive” sale or “conversion” transaction) comprised of shares of our common stock and one or more other positions, stockholders who exercise dissenters’ or appraisal rights,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the alternative minimum tax or the Medicare contribution tax on net investment income, the tax consequences of transactions effectuated prior or subsequent to, or concurrently with, the Reverse Stock Split (whether or not any such transactions are consummated in connection with the Reverse Stock Split) including, without limitation, the tax consequences to holders of options, warrants or similar rights to acquire our common stock.</w:t>
      </w:r>
    </w:p>
    <w:p>
      <w:pPr>
        <w:spacing w:after="0" w:line="353"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any of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someone treated as a U.S. citizen or resident for U.S. federal income tax purposes;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spacing w:after="0" w:line="10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Our view regarding the tax consequences of the Reverse Stock Split is not binding with the Internal Revenue Service (“IRS”) or the courts. We have not sought, and do not intend to seek, any tax opinion from counsel or ruling from the IRS with respect to any of the statements made in this summary. There can be no assurance that the IRS will not take a position contrary to these statements or that a contrary position taken by the IRS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would not be sustained by a court. Accordingly, each stockholder should consult with such stockholder’s own tax advisor with respect to all of the potential tax consequences to such stockholder of the Reverse Stock Split.</w:t>
      </w:r>
    </w:p>
    <w:p>
      <w:pPr>
        <w:spacing w:after="0" w:line="300" w:lineRule="exact"/>
        <w:rPr>
          <w:sz w:val="20"/>
          <w:szCs w:val="20"/>
          <w:color w:val="auto"/>
        </w:rPr>
      </w:pPr>
    </w:p>
    <w:p>
      <w:pPr>
        <w:jc w:val="both"/>
        <w:ind w:left="1260" w:right="399"/>
        <w:spacing w:after="0" w:line="261" w:lineRule="auto"/>
        <w:rPr>
          <w:sz w:val="20"/>
          <w:szCs w:val="20"/>
          <w:color w:val="auto"/>
        </w:rPr>
      </w:pPr>
      <w:r>
        <w:rPr>
          <w:rFonts w:ascii="Times New Roman" w:cs="Times New Roman" w:eastAsia="Times New Roman" w:hAnsi="Times New Roman"/>
          <w:sz w:val="17"/>
          <w:szCs w:val="17"/>
          <w:b w:val="1"/>
          <w:bCs w:val="1"/>
          <w:color w:val="auto"/>
        </w:rPr>
        <w:t>STOCKHOLDERS SHOULD CONSULT THEIR TAX ADVISORS WITH RESPECT TO THE APPLICATION OF THE U.S. FEDERAL INCOME TAX LAWS TO THEIR PARTICULAR SITUATIONS AS WELL AS ANY TAX CONSEQUENCES OF THE REVERSE STOCK SPLIT ARISING UNDER U.S. FEDERAL ESTATE OR GIFT TAX LAWS OR UNDER THE LAWS OF ANY STATE, LOCAL OR NON-U.S. TAXING JURISDICTION OR UNDER ANY APPLICABLE INCOME TAX TREATY.</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Reverse Stock Split</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We intend to treat the Reverse Stock Split as a “recapitalization” for U.S. federal income tax purposes. As a result, a U.S. Holder generally should not recognize gain or loss upon the Reverse Stock Split, except with respect to cash received in lieu of a fractional share of common stock (as described below). A U.S. Holder’s aggregate tax basis in the shares of common stock received pursuant to the Reverse Stock Split should equal the aggregate tax basis of the shares of common stock surrendered (excluding any portion of such basis that is allocated to any fractional share of common stock), and such U.S. Holder’s holding period for the shares of the common stock received should include the holding period for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in Lieu of Fractional Shares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pursuant to the Reverse Stock Split is expected to recognize capital gain or loss in an amount equal to the difference, if any, between the amount of cash received and the portion of the U.S. Holder’s tax basis in the shares of common stock surrendered that is allocated to such fractional share of common stock. Such capital gain or loss should be long-term capital gain or loss if the U.S. Holder’s holding period for the common stock surrendered in the Reverse Stock Split exceeds one year at the time of the Reverse Stock Split. Long-term capital gains of non-corporate U.S. Holders are generally subject to preferential tax rates. There are limitations on the deductibility of capital losses under the Code.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Holders of common stock should consult their tax advisors regarding their qualification for an exemption from backup withholding and the procedures for obtaining such an exemption, as well as the procedures for obtaining a credit or refund if backup withholding is imposed.</w:t>
      </w:r>
    </w:p>
    <w:p>
      <w:pPr>
        <w:spacing w:after="0" w:line="3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7"/>
          <w:szCs w:val="17"/>
          <w:b w:val="1"/>
          <w:bCs w:val="1"/>
          <w:color w:val="auto"/>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them, including record retention and tax-reporting requirements, and the applicability and effect of any federal, state, local and non-U.S. tax laws.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4.</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4.</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5</w:t>
      </w:r>
    </w:p>
    <w:p>
      <w:pPr>
        <w:spacing w:after="0" w:line="2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EDUCTION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w:t>
      </w:r>
    </w:p>
    <w:p>
      <w:pPr>
        <w:spacing w:after="0" w:line="15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Certificate of Incorporation to effect an Authorized Shares Reduction, with the specific number of authorized shares determined by a formula that is based on the ratio utilized for a Reverse Stock Split. The text of the proposed Certificate of Amendment to our Certificate of Incorporation, which we refer to as the Reverse Split Certificate of Amendment, is attached hereto as Appendix B.</w:t>
      </w:r>
    </w:p>
    <w:p>
      <w:pPr>
        <w:spacing w:after="0" w:line="117"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implementation of this Proposal 5 is expressly conditioned upon the approval and implementation of Proposal 4; if Proposal 4 is not approved and implemented, then this Proposal 5 will not be implemented. Accordingly, if we do not receive the required stockholder approval for Proposal 4 or the Reverse Stock Split is not otherwise implemented on or prior to the date of our 2023 Annual Meeting of Stockholders, then we will not implement the Authorized Shares Reduction. If we receive the required stockholder approval for Proposal 4 but do not receive the required stockholder approval for Proposal 5, then our Board of Directors will nonetheless retain the ability to implement a Reverse Stock Split and, if so effected, the total number of authorized shares of our common stock would remain unchanged.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Authorized Shares Reduction; Certain Risks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As a matter of Delaware law, the implementation of a Reverse Stock Split does not require a reduction in the total number of authorized shares of our common stock. However, if Proposals 4 and 5 are approved by our stockholders and a Reverse Stock Split is implemented, the authorized number of shares of our common stock also would be reduced according to the schedule set forth under “− Effects of Authorized Shares Reduction” below. The reduction in the authorized number of shares of common stock will not be proportionate to the Reverse Stock Split ratio, though, so the practical effect of any Reverse Stock Split and the corresponding Authorized Shares Reduction would be to increase the number of authorized shares of our common stock relative to the number of shares outstanding.</w:t>
      </w:r>
    </w:p>
    <w:p>
      <w:pPr>
        <w:spacing w:after="0" w:line="10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As described in more detail under “− Reasons for Reverse Stock Split” in Proposal 4, our Board of Directors desires to have a sufficient number of unissued and unreserved authorized shares of common stock following the implementation of a Reverse Stock Split to provide us with flexibility with respect to our authorized capital sufficient to execute our business strategy. At the same time, the corresponding Authorized Shares Reduction was designed so that we do not have what some stockholders might view as an unreasonably high number of authorized shares of common stock that are unissued or reserved for issuance following the Reverse Stock Split. In this regard, if Proposal 4 is approved but this Proposal 5 is not approved, then the authorized number of shares of our common stock would not be reduced at all even if a Reverse Stock Split is implemented; accordingly, our Board of Directors believes that this Proposal 5 is in the best interests of Marker and our stockholders and strikes the appropriate balance in the event a Reverse Stock Split is implemented. However, the implementation of a Reverse Stock Split and the resulting effective increase in the number of authorized shares of our common stock relative to the number of shares outstanding, could, under certain circumstances, have anti-takeover implications, as described in more detail under “− Certain Risks and Potential Disadvantages Associated with the Reverse Stock Split” in Proposal 4. Although we are not proposing a Reverse Stock Split as a result of any threat of a hostile takeover attempt (nor is the Board of Directors currently aware of any such attempts directed at us), stockholders should be aware that if Proposal 4 is approved but this Proposal 5 is not approved, the anti -takeover implications associated with any Reverse Stock Split may be enhanced due to the additional number of shares of common stock that could be used by us to deter or prevent changes in control.</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of Authorized Shares Reduction</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principal effect of the Authorized Shares Reduction will be that the number of authorized shares of our common stock will be reduced as follows, in each case depending on the exact Reverse Stock Split ratio selected by the Board, if and when a Reverse Stock Split is implemented:</w:t>
      </w:r>
    </w:p>
    <w:p>
      <w:pPr>
        <w:spacing w:after="0" w:line="69"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approved, from 300,000,000 shares to a range from 25,000,000 to 100,000,000,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3 is not approved, from 150,000,000 shares to a range from 12,500,000 to 50,000,000.</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Authorized Shares Reduction would not have any effect on the rights of existing stockholders, and the par value of the common stock would remain unchanged at $0.001 per share. The table below shows how the Reverse Stock Split ratio selected by the Board will determine the corresponding Authorized Shares Reduction if this Proposal 5 is approved and a Reverse Stock Split is implemented: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Relationship Between Reverse Stock Split Ratio and the Authorized Shares Reduction if Proposal 3 is Approved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Reverse Stock Split Ratio</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r>
      <w:tr>
        <w:trPr>
          <w:trHeight w:val="23"/>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None (current, if Proposal 3 is approved)</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300,000,000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75,000,000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50,000,000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42,857,143</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37,500,000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33,333,333</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27,272,727</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25,000,000</w:t>
            </w:r>
          </w:p>
        </w:tc>
      </w:tr>
      <w:tr>
        <w:trPr>
          <w:trHeight w:val="54"/>
        </w:trPr>
        <w:tc>
          <w:tcPr>
            <w:tcW w:w="674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24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-1919605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color w:val="auto"/>
        </w:rPr>
        <w:t>Relationship Between Reverse Stock Split Ratio and the Authorized Shares Reduction if Proposal 3 is not Approved</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Reverse Stock Split Ratio</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r>
      <w:tr>
        <w:trPr>
          <w:trHeight w:val="23"/>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None (current, if Proposal 3 is not approved)</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150,000,000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37,500,000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30,000,000</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25,000,000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21,428,571</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18,750,000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16,666,667</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15,000,000</w:t>
            </w: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13,636,364</w:t>
            </w:r>
          </w:p>
        </w:tc>
      </w:tr>
      <w:tr>
        <w:trPr>
          <w:trHeight w:val="270"/>
        </w:trPr>
        <w:tc>
          <w:tcPr>
            <w:tcW w:w="69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240" w:type="dxa"/>
            <w:vAlign w:val="bottom"/>
            <w:shd w:val="clear" w:color="auto" w:fill="CCEDFF"/>
          </w:tcPr>
          <w:p>
            <w:pPr>
              <w:jc w:val="right"/>
              <w:ind w:right="74"/>
              <w:spacing w:after="0"/>
              <w:rPr>
                <w:sz w:val="20"/>
                <w:szCs w:val="20"/>
                <w:color w:val="auto"/>
              </w:rPr>
            </w:pPr>
            <w:r>
              <w:rPr>
                <w:rFonts w:ascii="Times New Roman" w:cs="Times New Roman" w:eastAsia="Times New Roman" w:hAnsi="Times New Roman"/>
                <w:sz w:val="18"/>
                <w:szCs w:val="18"/>
                <w:color w:val="auto"/>
              </w:rPr>
              <w:t>12,500,000</w:t>
            </w:r>
          </w:p>
        </w:tc>
      </w:tr>
      <w:tr>
        <w:trPr>
          <w:trHeight w:val="54"/>
        </w:trPr>
        <w:tc>
          <w:tcPr>
            <w:tcW w:w="674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24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-1919605</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If this Proposal 5 is not approved, but Proposal 4 is approved and the Reverse Stock Split is implemented, then the authorized number of shares of our common stock would remain unchanged at 300,000,000, if Proposal 3 is approved, or 150,000,000, if Proposal 3 is not approved, following the Reverse Stock Split. For additional information regarding the effects of a Reverse Stock Split, see “− Effects of Reverse Stock Split” in Proposal 4.</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Date; Conditionality</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proposed Authorized Shares Reduction would become effective at 5:00 p.m., Eastern time, on the date of filing of a Certificate of Amendment with the office of the Secretary of State of the State of Delaware, or such later date as is chosen by the Board and set forth in the Certificate of Amendment.</w:t>
      </w:r>
    </w:p>
    <w:p>
      <w:pPr>
        <w:spacing w:after="0" w:line="10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Board of Directors intends to proceed with the Authorized Shares Reduction only if and when a Reverse Stock Split is implemented. Accordingly, should we not receive the required stockholder approval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Proposal 4 or the Reverse Stock Split is not otherwise implemented on or prior to the date of our 2023 Annual Meeting of Stockholders, then we will not implement the Authorized Shares Reduction even if this Proposal 5 is approved. In this regard, the implementation of Proposal 5 is expressly conditioned upon the approval and implementation of Proposal 4; if Proposal 4 is not approved and implemented, then Proposal 5 will not be implemented. If we receive the required stockholder approval for Proposal 4 but do not receive the required stockholder approval for Proposal 5, then our Board of Directors will nonetheless retain the option to implement a Reverse Stock Split and if so effected, the total number of authorized shares of our common stock would remain unchanged.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5.</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6</w:t>
      </w:r>
    </w:p>
    <w:p>
      <w:pPr>
        <w:spacing w:after="0" w:line="229" w:lineRule="exact"/>
        <w:rPr>
          <w:sz w:val="20"/>
          <w:szCs w:val="20"/>
          <w:color w:val="auto"/>
        </w:rPr>
      </w:pPr>
    </w:p>
    <w:p>
      <w:pPr>
        <w:jc w:val="center"/>
        <w:ind w:left="1860" w:right="120"/>
        <w:spacing w:after="0" w:line="287"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2020 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MENDED,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NCREASE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SSUANCE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Y</w:t>
      </w:r>
      <w:r>
        <w:rPr>
          <w:rFonts w:ascii="Times New Roman" w:cs="Times New Roman" w:eastAsia="Times New Roman" w:hAnsi="Times New Roman"/>
          <w:sz w:val="20"/>
          <w:szCs w:val="20"/>
          <w:b w:val="1"/>
          <w:bCs w:val="1"/>
          <w:color w:val="auto"/>
        </w:rPr>
        <w:t xml:space="preserve"> 8,500,000 S</w:t>
      </w:r>
      <w:r>
        <w:rPr>
          <w:rFonts w:ascii="Times New Roman" w:cs="Times New Roman" w:eastAsia="Times New Roman" w:hAnsi="Times New Roman"/>
          <w:sz w:val="16"/>
          <w:szCs w:val="16"/>
          <w:b w:val="1"/>
          <w:bCs w:val="1"/>
          <w:color w:val="auto"/>
        </w:rPr>
        <w:t>HARES</w:t>
      </w:r>
    </w:p>
    <w:p>
      <w:pPr>
        <w:spacing w:after="0" w:line="7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On April 5, 2022, the Board amended the Marker Therapeutics, Inc. 2020 Equity Incentive Plan, or the 2020 Plan, subject to stockholder approval, to among other things, increase the number of shares of common stock authorized for issuance under the 2020 Plan by 8,500,000 shares. We refer to the 2020 Plan, as so amended, as the “Amended 2020 Plan” throughout this proxy statement. References in this proposal to the Board include the Compensation Committee of the Board where applicable.</w:t>
      </w:r>
    </w:p>
    <w:p>
      <w:pPr>
        <w:spacing w:after="0" w:line="11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material terms of the Amended 2020 Plan are summarized below. The key differences between the terms of the 2020 Plan and the Amended 2020 Plan are as follows:</w:t>
      </w:r>
    </w:p>
    <w:p>
      <w:pPr>
        <w:spacing w:after="0" w:line="9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Amended 2020 Plan provides that an additional 8,500,000 shares of common stock may be issued pursuant to stock awards granted under the Amended 2020 Plan; and</w:t>
      </w:r>
    </w:p>
    <w:p>
      <w:pPr>
        <w:spacing w:after="0" w:line="8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Amended 2020 Plan provides that an additional 57,818,394 shares of common stock are authorized for issuance under the Amended 2020 Plan pursuant to the grant of incentive stock options and extends the period during which incentive stock options may be issued under the Amended 2020 Plan through the tenth anniversary of the date the Amended 2020 Plan was adopted by the Board.</w:t>
      </w:r>
    </w:p>
    <w:p>
      <w:pPr>
        <w:spacing w:after="0" w:line="11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Board believes the Amended 2020 Plan is an integral part of our long-term compensation philosophy and is necessary to continue providing the appropriate levels and types of equity compensation for our employees.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Awards Are an Important Part of Our Compensation Philosophy</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Board believes that the grant of equity awards is a key element underlying our ability to attract, retain and motivate our employees, non-employee directors and consultants because of the strong competition for highly trained and experienced individuals among biopharmaceutical companies. The Amended 2020 Plan will allow us to continue to utilize equity awards as long-term incentives to secure and retain the services of our employees, non-employee directors and consultants, consistent with our compensation philosophy and common compensation practice for our industry. To date, equity awards have been a key aspect of our program to attract and retain key employees, non-employee directors and consultants.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 common stock and promote retention through the reward of long-term Company performance. The Amended 2020 Plan allows us to utilize a broad array of equity incentives with flexibility in designing such incentives, including traditional option grants, stock appreciation rights, restricted stock awards, restricted stock unit awards and performance stock awards.</w:t>
      </w:r>
    </w:p>
    <w:p>
      <w:pPr>
        <w:spacing w:after="0" w:line="33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As of March 25, 2022, only 845,981 shares remained available for future grant under the 2020 Plan. The Board believes that the issuance of equity awards is a key element underlying our ability to recruit, retain and motivate key employees, consultants and directors, better aligns the interests of such persons with those of our stockholders, and is a substantial contributing factor to our success and the future growth of our business. However, we believe that the shares currently available for grant under the 2020 Plan will be insufficient to meet our anticipated recruiting and retention needs. Therefore, the Board believes that the approval of the Amended 2020 Plan is in the best interests of our Company and its stockholders and recommends a vote in favor of this proposal.</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this Proposal 6 is adopted by our stockholders, the Amended 2020 Plan will become effective upon the date of the annual meeting. In the event that our stockholders do not approve this Proposal 6, the Amended 2020 Plan will not become effective, and the 2020 Plan will continue in its current form.</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of March 25, 2022, stock awards covering an aggregate of 9,404,047 shares of common stock were outstanding under the 2020 Plan.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If our request to increase the share reserve of the 2020 Plan by 8,500,000 shares is approved, we will have approximately 9,345,981 shares available for grant after the annual meeting, which the Board believes will provide sufficient equity for attracting, retaining and motivating employees for two to three years, based on our current anticipated needs.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Carefully Manage the Use of Equity Awards</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Our compensation philosophy reflects broad -based eligibility for equity awards, and we grant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non-employee directors and consultants.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use of equity awards.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March 25, 2022</w:t>
            </w:r>
          </w:p>
        </w:tc>
      </w:tr>
      <w:tr>
        <w:trPr>
          <w:trHeight w:val="23"/>
        </w:trPr>
        <w:tc>
          <w:tcPr>
            <w:tcW w:w="724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w:t>
            </w:r>
          </w:p>
        </w:tc>
        <w:tc>
          <w:tcPr>
            <w:tcW w:w="140" w:type="dxa"/>
            <w:vAlign w:val="bottom"/>
            <w:shd w:val="clear" w:color="auto" w:fill="CCEDFF"/>
          </w:tcPr>
          <w:p>
            <w:pPr>
              <w:spacing w:after="0"/>
              <w:rPr>
                <w:sz w:val="21"/>
                <w:szCs w:val="21"/>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9,404,047</w:t>
            </w:r>
          </w:p>
        </w:tc>
      </w:tr>
      <w:tr>
        <w:trPr>
          <w:trHeight w:val="257"/>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per share of outstanding stock options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7"/>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 (in years)</w:t>
            </w:r>
          </w:p>
        </w:tc>
        <w:tc>
          <w:tcPr>
            <w:tcW w:w="140" w:type="dxa"/>
            <w:vAlign w:val="bottom"/>
            <w:shd w:val="clear" w:color="auto" w:fill="CCEDFF"/>
          </w:tcPr>
          <w:p>
            <w:pPr>
              <w:spacing w:after="0"/>
              <w:rPr>
                <w:sz w:val="22"/>
                <w:szCs w:val="22"/>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84"/>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the 2014 Plan</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DFF"/>
          </w:tcPr>
          <w:p>
            <w:pPr>
              <w:spacing w:after="0"/>
              <w:rPr>
                <w:sz w:val="24"/>
                <w:szCs w:val="24"/>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shares available for grant under the 2020 Plan</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845,981</w:t>
            </w:r>
          </w:p>
        </w:tc>
      </w:tr>
      <w:tr>
        <w:trPr>
          <w:trHeight w:val="270"/>
        </w:trPr>
        <w:tc>
          <w:tcPr>
            <w:tcW w:w="72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140" w:type="dxa"/>
            <w:vAlign w:val="bottom"/>
            <w:shd w:val="clear" w:color="auto" w:fill="CCEDFF"/>
          </w:tcPr>
          <w:p>
            <w:pPr>
              <w:spacing w:after="0"/>
              <w:rPr>
                <w:sz w:val="23"/>
                <w:szCs w:val="23"/>
                <w:color w:val="auto"/>
              </w:rPr>
            </w:pPr>
          </w:p>
        </w:tc>
        <w:tc>
          <w:tcPr>
            <w:tcW w:w="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83,451,187</w:t>
            </w:r>
          </w:p>
        </w:tc>
      </w:tr>
      <w:tr>
        <w:trPr>
          <w:trHeight w:val="27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Per-share closing price of common stock as reported on Nasdaq Global Market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-1345565</wp:posOffset>
            </wp:positionV>
            <wp:extent cx="4603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8256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44" w:lineRule="exact"/>
        <w:rPr>
          <w:sz w:val="20"/>
          <w:szCs w:val="20"/>
          <w:color w:val="auto"/>
        </w:rPr>
      </w:pPr>
    </w:p>
    <w:p>
      <w:pPr>
        <w:ind w:left="1620" w:right="419" w:hanging="360"/>
        <w:spacing w:after="0" w:line="203" w:lineRule="auto"/>
        <w:tabs>
          <w:tab w:leader="none" w:pos="16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As of the March 25, 2022, there were no shares of common stock available for grant under any Prior Plans, other than the 2014 Plan.</w:t>
      </w:r>
    </w:p>
    <w:p>
      <w:pPr>
        <w:spacing w:after="0" w:line="12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Common measures of an equity incentive plan’s cost include burn rate, dilution and overhang. The burn rate refers to how fast a company uses the supply of shares authorized for issuance under its equity incentive plan. Over the last three years, we have maintained an average burn rate of 2.80% of shares of common stock outstanding per year, including shares of preferred stock on an as-converted basis. Dilution measures the degree to which our stockholders’ ownership has been diluted by stock-based compensation awarded under our equity incentive plans and also includes shares that may be awarded under our equity incentive plans in the future (“overhang”).</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shows how our key equity metrics have changed over the past three years: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Key Equity Metrics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r>
      <w:tr>
        <w:trPr>
          <w:trHeight w:val="23"/>
        </w:trPr>
        <w:tc>
          <w:tcPr>
            <w:tcW w:w="28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DFF"/>
            </w:tcBorders>
          </w:tcPr>
          <w:p>
            <w:pPr>
              <w:spacing w:after="0"/>
              <w:rPr>
                <w:sz w:val="2"/>
                <w:szCs w:val="2"/>
                <w:color w:val="auto"/>
              </w:rPr>
            </w:pPr>
          </w:p>
        </w:tc>
      </w:tr>
      <w:tr>
        <w:trPr>
          <w:trHeight w:val="277"/>
        </w:trPr>
        <w:tc>
          <w:tcPr>
            <w:tcW w:w="6580" w:type="dxa"/>
            <w:vAlign w:val="bottom"/>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Burn Rate</w:t>
            </w:r>
            <w:r>
              <w:rPr>
                <w:rFonts w:ascii="Times New Roman" w:cs="Times New Roman" w:eastAsia="Times New Roman" w:hAnsi="Times New Roman"/>
                <w:sz w:val="23"/>
                <w:szCs w:val="23"/>
                <w:color w:val="auto"/>
                <w:vertAlign w:val="superscript"/>
              </w:rPr>
              <w:t>(1)</w:t>
            </w:r>
          </w:p>
        </w:tc>
        <w:tc>
          <w:tcPr>
            <w:tcW w:w="560" w:type="dxa"/>
            <w:vAlign w:val="bottom"/>
            <w:gridSpan w:val="2"/>
            <w:shd w:val="clear" w:color="auto" w:fill="CCED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Overhang</w:t>
            </w:r>
            <w:r>
              <w:rPr>
                <w:rFonts w:ascii="Times New Roman" w:cs="Times New Roman" w:eastAsia="Times New Roman" w:hAnsi="Times New Roman"/>
                <w:sz w:val="23"/>
                <w:szCs w:val="23"/>
                <w:color w:val="auto"/>
                <w:vertAlign w:val="superscript"/>
              </w:rPr>
              <w:t>(2)</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21.1%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12.8%</w:t>
            </w:r>
          </w:p>
        </w:tc>
      </w:tr>
      <w:tr>
        <w:trPr>
          <w:trHeight w:val="318"/>
        </w:trPr>
        <w:tc>
          <w:tcPr>
            <w:tcW w:w="6580" w:type="dxa"/>
            <w:vAlign w:val="bottom"/>
            <w:tcBorders>
              <w:bottom w:val="single" w:sz="8" w:color="CCEDFF"/>
            </w:tcBorders>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Dilution</w:t>
            </w:r>
            <w:r>
              <w:rPr>
                <w:rFonts w:ascii="Times New Roman" w:cs="Times New Roman" w:eastAsia="Times New Roman" w:hAnsi="Times New Roman"/>
                <w:sz w:val="23"/>
                <w:szCs w:val="23"/>
                <w:color w:val="auto"/>
                <w:vertAlign w:val="superscript"/>
              </w:rPr>
              <w:t>(3)</w:t>
            </w:r>
          </w:p>
        </w:tc>
        <w:tc>
          <w:tcPr>
            <w:tcW w:w="560" w:type="dxa"/>
            <w:vAlign w:val="bottom"/>
            <w:tcBorders>
              <w:bottom w:val="single" w:sz="8" w:color="CCEDFF"/>
            </w:tcBorders>
            <w:gridSpan w:val="2"/>
            <w:shd w:val="clear" w:color="auto" w:fill="CCED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Borders>
              <w:bottom w:val="single" w:sz="8" w:color="CCEDFF"/>
            </w:tcBorders>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11.8%</w:t>
            </w:r>
          </w:p>
        </w:tc>
        <w:tc>
          <w:tcPr>
            <w:tcW w:w="500" w:type="dxa"/>
            <w:vAlign w:val="bottom"/>
            <w:tcBorders>
              <w:bottom w:val="single" w:sz="8" w:color="CCEDFF"/>
            </w:tcBorders>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2880" w:type="dxa"/>
            <w:vAlign w:val="bottom"/>
            <w:tcBorders>
              <w:bottom w:val="single" w:sz="8" w:color="auto"/>
            </w:tcBorders>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-736600</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-736600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-736600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-736600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right="419" w:hanging="360"/>
        <w:spacing w:after="0" w:line="203" w:lineRule="auto"/>
        <w:tabs>
          <w:tab w:leader="none" w:pos="16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Burn rate is calculated by dividing the number of shares subject to equity awards granted during the year by the weighted-average number of shares outstanding during the year.</w:t>
      </w:r>
    </w:p>
    <w:p>
      <w:pPr>
        <w:spacing w:after="0" w:line="46" w:lineRule="exact"/>
        <w:rPr>
          <w:rFonts w:ascii="Times New Roman" w:cs="Times New Roman" w:eastAsia="Times New Roman" w:hAnsi="Times New Roman"/>
          <w:sz w:val="25"/>
          <w:szCs w:val="25"/>
          <w:color w:val="auto"/>
          <w:vertAlign w:val="superscript"/>
        </w:rPr>
      </w:pPr>
    </w:p>
    <w:p>
      <w:pPr>
        <w:jc w:val="both"/>
        <w:ind w:left="1620" w:right="419" w:hanging="360"/>
        <w:spacing w:after="0" w:line="215" w:lineRule="auto"/>
        <w:tabs>
          <w:tab w:leader="none" w:pos="16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Overhang is calculated by dividing (a) the sum of (x) the number of shares subject to equity awards outstanding at the end of the year and (y) the number of shares available for future grants, by (b) the number of shares outstanding at the end of the year.</w:t>
      </w:r>
    </w:p>
    <w:p>
      <w:pPr>
        <w:spacing w:after="0" w:line="47" w:lineRule="exact"/>
        <w:rPr>
          <w:rFonts w:ascii="Times New Roman" w:cs="Times New Roman" w:eastAsia="Times New Roman" w:hAnsi="Times New Roman"/>
          <w:sz w:val="25"/>
          <w:szCs w:val="25"/>
          <w:color w:val="auto"/>
          <w:vertAlign w:val="superscript"/>
        </w:rPr>
      </w:pPr>
    </w:p>
    <w:p>
      <w:pPr>
        <w:ind w:left="1620" w:right="419" w:hanging="360"/>
        <w:spacing w:after="0" w:line="203" w:lineRule="auto"/>
        <w:tabs>
          <w:tab w:leader="none" w:pos="16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Dilution is calculated by dividing the number of shares subject to equity awards outstanding at the end of the fiscal year by the number of shares outstanding at the end of the fiscal year.</w:t>
      </w:r>
    </w:p>
    <w:p>
      <w:pPr>
        <w:spacing w:after="0" w:line="12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evaluating whether to approve the Amended 2020 Plan, the Board and Compensation Committee reviewed our historical issuances under the 2020 Plan and considered our future needs for equity awards under the 2020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Plan, based on our plans for future expansion and growth in light of our anticipated recruiting and retention needs and changes in Company capitalization and dilution. We intend to grant future equity awards under the Amended 2020 Plan in amounts that are reasonable and based on market data prepared by the independent compensation consultant to the Compensation Committee.</w:t>
      </w:r>
    </w:p>
    <w:p>
      <w:pPr>
        <w:spacing w:after="0" w:line="100"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approval of the Amended 2020 Plan will allow us to continue to grant stock options and restricted stock units, and would allow us to grant other awards described below, at levels determined appropriate by the Board or the Compensation Committee. The Amended 2020 Plan will continue to provide us with flexibility in designing equity incentives in an environment where competition for highly trained and experienced employees, non-employee directors and consultants is high among biopharmaceutical companies. The Amended 2020 Plan will allow us to continue to utilize equity awards as long-term incentives to secure and retain the services of our employees, non-employee directors and consultants, consistent with our compensation philosophy and common compensation practice for our industry.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Amended 2020 Plan Combines Compensation and Governance Best Practices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Amended 2020 Plan includes provisions that are designed to protect our stockholders’ interests and to reflect corporate governance best practices, including:</w:t>
      </w:r>
    </w:p>
    <w:p>
      <w:pPr>
        <w:spacing w:after="0" w:line="52" w:lineRule="exact"/>
        <w:rPr>
          <w:sz w:val="20"/>
          <w:szCs w:val="20"/>
          <w:color w:val="auto"/>
        </w:rPr>
      </w:pPr>
    </w:p>
    <w:p>
      <w:pPr>
        <w:jc w:val="both"/>
        <w:ind w:left="1800" w:right="419" w:hanging="180"/>
        <w:spacing w:after="0" w:line="267"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 is required for additional shares</w:t>
      </w:r>
      <w:r>
        <w:rPr>
          <w:rFonts w:ascii="Times New Roman" w:cs="Times New Roman" w:eastAsia="Times New Roman" w:hAnsi="Times New Roman"/>
          <w:sz w:val="18"/>
          <w:szCs w:val="18"/>
          <w:color w:val="auto"/>
        </w:rPr>
        <w:t>. The Amended 2020 Plan does not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“evergreen” provision. The Amended 2020 Plan authorizes a fixed number of shares, so that stockholder approval is required to issue any additional shares.</w:t>
      </w:r>
    </w:p>
    <w:p>
      <w:pPr>
        <w:spacing w:after="0" w:line="51"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Fungible share counting. </w:t>
      </w:r>
      <w:r>
        <w:rPr>
          <w:rFonts w:ascii="Times New Roman" w:cs="Times New Roman" w:eastAsia="Times New Roman" w:hAnsi="Times New Roman"/>
          <w:sz w:val="18"/>
          <w:szCs w:val="18"/>
          <w:color w:val="auto"/>
        </w:rPr>
        <w:t>The Amended 2020 Plan contains a “fungible share counting”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whereby the number of shares of our common stock available for issuance under the Amended 2020 Plan will be reduced by (i) one share for each share issued pursuant to a stock option or stock appreciation right with an exercise price that is at least 100% of the fair market value of our common stock on the date of grant, or an Appreciation Award, granted under the Amended 2020 Plan and</w:t>
      </w:r>
    </w:p>
    <w:p>
      <w:pPr>
        <w:jc w:val="both"/>
        <w:ind w:left="1800" w:right="419"/>
        <w:spacing w:after="0" w:line="252" w:lineRule="auto"/>
        <w:tabs>
          <w:tab w:leader="none" w:pos="20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shares for each share issued pursuant to an award that is a Full Value Award, granted under the Amended 2020 Plan. As part of such fungible share counting structure, the number of shares of our common stock available for issuance under the Amended 2020 Plan will be increased by (i) one share for each share that becomes available again for issuance under the terms of the Amended 2020 Plan subject to an Appreciation Award and (ii) 1.23 shares for each share that becomes available again for issuance under the terms of the Amended 2020 Plan subject to a Full Value Award.</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recycling of Full Value Awards</w:t>
      </w:r>
      <w:r>
        <w:rPr>
          <w:rFonts w:ascii="Times New Roman" w:cs="Times New Roman" w:eastAsia="Times New Roman" w:hAnsi="Times New Roman"/>
          <w:sz w:val="18"/>
          <w:szCs w:val="18"/>
          <w:color w:val="auto"/>
        </w:rPr>
        <w:t>. The following shares will not become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 for issuance under the Amended 2020 Plan: (i) shares underlying Full Value Awards that are reacquired or withheld (or not issued) by us to satisfy the purchase price of an award; (ii) shares underlying Full Value Awards that are reacquired or withheld (or not issued) by us to satisfy a tax withholding obligation in connection with an award; and (iii) any shares repurchased by us on the open market with the proceeds of the purchase price of Full Value Awards.</w:t>
      </w:r>
    </w:p>
    <w:p>
      <w:pPr>
        <w:spacing w:after="0" w:line="74"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 is not allowed</w:t>
      </w:r>
      <w:r>
        <w:rPr>
          <w:rFonts w:ascii="Times New Roman" w:cs="Times New Roman" w:eastAsia="Times New Roman" w:hAnsi="Times New Roman"/>
          <w:sz w:val="18"/>
          <w:szCs w:val="18"/>
          <w:color w:val="auto"/>
        </w:rPr>
        <w:t>. The Amended 2020 Plan prohibits the repricing of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stock appreciation rights, and the cancellation of any outstanding stock options or stock appreciation rights that have an exercise or strike price greater than the then-current fair market value of our common stock in exchange for cash or other stock awards under the Amended 2020 Plan, without prior stockholder approval.</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64"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 or stock appreciation rights</w:t>
      </w:r>
      <w:r>
        <w:rPr>
          <w:rFonts w:ascii="Times New Roman" w:cs="Times New Roman" w:eastAsia="Times New Roman" w:hAnsi="Times New Roman"/>
          <w:sz w:val="18"/>
          <w:szCs w:val="18"/>
          <w:color w:val="auto"/>
        </w:rPr>
        <w:t>. All stock options and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granted under the Amended 2020 Plan must have an exercise price equal to or greater than the fair market value of our common stock on the date the stock option or stock appreciation right is granted.</w:t>
      </w:r>
    </w:p>
    <w:p>
      <w:pPr>
        <w:spacing w:after="0" w:line="275"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 on non-employee director compensation</w:t>
      </w:r>
      <w:r>
        <w:rPr>
          <w:rFonts w:ascii="Times New Roman" w:cs="Times New Roman" w:eastAsia="Times New Roman" w:hAnsi="Times New Roman"/>
          <w:sz w:val="18"/>
          <w:szCs w:val="18"/>
          <w:color w:val="auto"/>
        </w:rPr>
        <w:t>. The aggregate value of all compensation granted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by us to any individual for service as a non-employee director with respect to any calendar year, such period referred to as the annual period, including awards granted under the Amended 2020 Plan and cash fees paid to such non-employee director, will not exceed (i) $500,000 in total value or</w:t>
      </w:r>
    </w:p>
    <w:p>
      <w:pPr>
        <w:spacing w:after="0" w:line="1" w:lineRule="exact"/>
        <w:rPr>
          <w:rFonts w:ascii="Times New Roman" w:cs="Times New Roman" w:eastAsia="Times New Roman" w:hAnsi="Times New Roman"/>
          <w:sz w:val="18"/>
          <w:szCs w:val="18"/>
          <w:color w:val="auto"/>
        </w:rPr>
      </w:pPr>
    </w:p>
    <w:p>
      <w:pPr>
        <w:jc w:val="both"/>
        <w:ind w:left="1800" w:right="419"/>
        <w:spacing w:after="0" w:line="255" w:lineRule="auto"/>
        <w:tabs>
          <w:tab w:leader="none" w:pos="21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non-employee director is first appointed or elected to the Board during such annual period, $750,000 in total value. For purposes of these limitations, the value of any equity awards is calculated based on the grant date fair value of such awards for financial reporting purposes.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800" w:right="419" w:hanging="180"/>
        <w:spacing w:after="0" w:line="25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dividends and dividend equivalents</w:t>
      </w:r>
      <w:r>
        <w:rPr>
          <w:rFonts w:ascii="Times New Roman" w:cs="Times New Roman" w:eastAsia="Times New Roman" w:hAnsi="Times New Roman"/>
          <w:sz w:val="18"/>
          <w:szCs w:val="18"/>
          <w:color w:val="auto"/>
        </w:rPr>
        <w:t>. The Amended 2020 Plan provides that (i)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p>
      <w:pPr>
        <w:spacing w:after="0" w:line="283"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subject to forfeiture/clawback</w:t>
      </w:r>
      <w:r>
        <w:rPr>
          <w:rFonts w:ascii="Times New Roman" w:cs="Times New Roman" w:eastAsia="Times New Roman" w:hAnsi="Times New Roman"/>
          <w:sz w:val="18"/>
          <w:szCs w:val="18"/>
          <w:color w:val="auto"/>
        </w:rPr>
        <w:t>. Awards granted under the Amended 2020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spacing w:after="0" w:line="63"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stock options and stock appreciation rights on a participant’s termination for cause</w:t>
      </w:r>
      <w:r>
        <w:rPr>
          <w:rFonts w:ascii="Times New Roman" w:cs="Times New Roman" w:eastAsia="Times New Roman" w:hAnsi="Times New Roman"/>
          <w:sz w:val="18"/>
          <w:szCs w:val="18"/>
          <w:color w:val="auto"/>
        </w:rPr>
        <w:t>. If a participant’s service is terminated for cause, which is defined under the Amended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 (i) the participant’s attempted commission of, or participation in, a fraud or act of dishonesty against the Company; (ii) the participant’s intentional, material violation of any contract or agreement between the participant and the Company or of any statutory duty owed to the Company;</w:t>
      </w:r>
    </w:p>
    <w:p>
      <w:pPr>
        <w:jc w:val="both"/>
        <w:ind w:left="1800" w:right="419"/>
        <w:spacing w:after="0" w:line="253" w:lineRule="auto"/>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unauthorized use or disclosure of the Company’s confidential information or trade secrets; or (iv) the participant’s gross misconduct, the participant’s stock options and stock appreciation rights terminate immediately, and the participant is prohibited from exercising their stock options and stock appreciation rights.</w:t>
      </w:r>
    </w:p>
    <w:p>
      <w:pPr>
        <w:spacing w:after="0" w:line="78"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change in control definition</w:t>
      </w:r>
      <w:r>
        <w:rPr>
          <w:rFonts w:ascii="Times New Roman" w:cs="Times New Roman" w:eastAsia="Times New Roman" w:hAnsi="Times New Roman"/>
          <w:sz w:val="18"/>
          <w:szCs w:val="18"/>
          <w:color w:val="auto"/>
        </w:rPr>
        <w:t>. The change in control definition in the Amended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a “liberal” definition. A change in control transaction must actually occur in order for the change in control provisions in the Amended 2020 Plan to be triggered.</w:t>
      </w:r>
    </w:p>
    <w:p>
      <w:pPr>
        <w:spacing w:after="0" w:line="51" w:lineRule="exact"/>
        <w:rPr>
          <w:rFonts w:ascii="Times New Roman" w:cs="Times New Roman" w:eastAsia="Times New Roman" w:hAnsi="Times New Roman"/>
          <w:sz w:val="18"/>
          <w:szCs w:val="18"/>
          <w:color w:val="auto"/>
        </w:rPr>
      </w:pPr>
    </w:p>
    <w:p>
      <w:pPr>
        <w:jc w:val="both"/>
        <w:ind w:left="1800" w:right="419" w:hanging="180"/>
        <w:spacing w:after="0" w:line="27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accelerated vesting of assumed awards upon change in control</w:t>
      </w:r>
      <w:r>
        <w:rPr>
          <w:rFonts w:ascii="Times New Roman" w:cs="Times New Roman" w:eastAsia="Times New Roman" w:hAnsi="Times New Roman"/>
          <w:sz w:val="18"/>
          <w:szCs w:val="18"/>
          <w:color w:val="auto"/>
        </w:rPr>
        <w:t>. The Amended 2020 Plan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provide for accelerated vesting of awards that are assumed by an acquirer upon a change in control.</w:t>
      </w:r>
    </w:p>
    <w:p>
      <w:pPr>
        <w:spacing w:after="0" w:line="266"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amendments require stockholder approval</w:t>
      </w:r>
      <w:r>
        <w:rPr>
          <w:rFonts w:ascii="Times New Roman" w:cs="Times New Roman" w:eastAsia="Times New Roman" w:hAnsi="Times New Roman"/>
          <w:sz w:val="18"/>
          <w:szCs w:val="18"/>
          <w:color w:val="auto"/>
        </w:rPr>
        <w:t>. Consistent with Nasdaq rules,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requires stockholder approval of any material revisions to the Amended 2020 Plan. In addition, certain other amendments to the Amended 2020 Plan require stockholder approval.</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6.</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Amended 2020 Plan</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material features of the Amended 2020 Plan are described below. The following description of the Amended 2020 Plan is a summary only and is qualified in its entirety by reference to the complete text of the Amended 2020 Plan. Stockholders are urged to read the actual text of the Amended 2020 Plan in its entirety, which is attached to this proxy statement as Appendix C.</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Amended 2020 Plan is designed to secure and retain the services of our employees, non -employee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Amended 2020 Plan is also designed to align employees’ interests with stockholder interests.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terms of the Amended 2020 Plan provide for the grant of incentive stock options, nonstatutory stock options, stock appreciation rights, restricted stock awards, restricted stock unit awards, performance awards, and other awards.</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Awards</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shares of our common stock that may be issued under the Amended 2020 Plan will not exceed the sum of (i) 8,500,000 new shares, (ii) 845,981 shares remaining available for grant of new awards under the 2020 Plan, (iii) the number of shares remaining available for the grant of new awards under the Prior Plans as of immediately prior to the effective date of the 2020 Plan and (iv) the Prior Plans’ Returning Shares (as defined below), as such shares become available from time to time.</w:t>
      </w:r>
    </w:p>
    <w:p>
      <w:pPr>
        <w:spacing w:after="0" w:line="12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“Prior Plans’ Returning Shares” are shares of our common stock subject to outstanding awards granted under the Prior Plans that on or following the effective date of the 2020 Plan: (i) are not issued because such award or any portion thereof expires or otherwise terminates without all of the shares covered by such award having been issued; (ii) are not issued because such award or any portion thereof is settled in cash;</w:t>
      </w:r>
    </w:p>
    <w:p>
      <w:pPr>
        <w:spacing w:after="0" w:line="3" w:lineRule="exact"/>
        <w:rPr>
          <w:sz w:val="20"/>
          <w:szCs w:val="20"/>
          <w:color w:val="auto"/>
        </w:rPr>
      </w:pPr>
    </w:p>
    <w:p>
      <w:pPr>
        <w:jc w:val="both"/>
        <w:ind w:left="1260" w:right="419"/>
        <w:spacing w:after="0" w:line="255" w:lineRule="auto"/>
        <w:tabs>
          <w:tab w:leader="none" w:pos="16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forfeited back to or repurchased by us because of the failure to meet a contingency or condition required for the vesting of such shares, (iv) are withheld or reacquired by us to satisfy the exercise, strike or purchase price; or (v) are withheld or reacquired by us to satisfy a tax withholding obligation.</w:t>
      </w:r>
    </w:p>
    <w:p>
      <w:pPr>
        <w:spacing w:after="0" w:line="1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available for issuance under the Amended 2020 Plan will be reduced by (i) one share for each share of our common stock issued pursuant to an Appreciation Award (i.e., a stock option or stock appreciation right with an exercise or strike price of at least 100% of the fair market value of the underlying common stock on the date of grant), and (ii) 1.23 shares for each share of our common stock issued pursuant to a Full Value Award (i.e., an award that is not an Appreciation Award).</w:t>
      </w:r>
    </w:p>
    <w:p>
      <w:pPr>
        <w:spacing w:after="0" w:line="10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following actions will not result in an issuance of shares of our common stock under the Amended 2020 Plan and accordingly will not reduce the number of shares of our common stock available for issuance under the Amended 2020 Plan: (i) the expiration or termination of any portion of an award granted under the Amended 2020 Plan without the shares covered by such portion of the award having been issued; (ii) the settlement of any portion of an award granted under the Amended 2020 Plan in cash; (iii) the withholding of shares to satisfy the exercise or strike price of an Appreciation Award; or (iv) the withholding of shares to satisfy a tax withholding obligation in connection with an Appreciation Award.</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any shares of our common stock issued pursuant to an award granted under the Amended 2020 Plan are</w:t>
      </w:r>
    </w:p>
    <w:p>
      <w:pPr>
        <w:spacing w:after="0" w:line="27" w:lineRule="exact"/>
        <w:rPr>
          <w:sz w:val="20"/>
          <w:szCs w:val="20"/>
          <w:color w:val="auto"/>
        </w:rPr>
      </w:pPr>
    </w:p>
    <w:p>
      <w:pPr>
        <w:jc w:val="both"/>
        <w:ind w:left="1260" w:right="419"/>
        <w:spacing w:after="0" w:line="252" w:lineRule="auto"/>
        <w:tabs>
          <w:tab w:leader="none" w:pos="14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 back to or repurchased by us because of the failure to meet a contingency or condition required for the vesting of such shares or if any shares; (ii) reacquired by us to satisfy the exercise or strike price of an Appreciation Award; or (iii) reacquired by us to satisfy a tax withholding obligation in connection with an Appreciation Award, then such shares will become available again for issuance under the Amended 2020 Plan. For each share subject to a Full Value Award, the number of shares of our common stock available for issuance under the Amended 2020 Plan will increase by 1.23 shares.</w:t>
      </w:r>
    </w:p>
    <w:p>
      <w:pPr>
        <w:spacing w:after="0" w:line="12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Any shares of our common stock reacquired or withheld (or not issued) by us to satisfy the purchase price of a Full Value Award will no longer be available for issuance under the Amended 2020 Plan, including any shares subject to a Full Value Award that are not delivered to a participant because such Full Value Award is settled through a reduction of shares subject to such Full Value Award. In addition, any shares reacquired or withheld (or not issued) by us to satisfy a tax withholding obligation in connection with a Full Value Award, or any shares repurchased by us on the open market with the proceeds from the purchase price of a Full Value Award will no longer be available for issuance under the Plan.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4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All of our (including our affiliates’) employees, non-employee directors and consultants are eligible to participate in the Amended 2020 Plan and may receive all types of awards other than incentive stock options. Incentive stock options may be granted under the Amended 2020 Plan only to our (including our affiliates’) employees.</w:t>
      </w:r>
    </w:p>
    <w:p>
      <w:pPr>
        <w:spacing w:after="0" w:line="33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As of March 25, 2022, we (including our affiliates) had 58 employees, 16 non-employee directors and one consultant.</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Amended 2020 Plan will be administered by our Board, which may in turn delegate some or all of the administration of the Amended 2020 Plan to a committee or committees composed of members of the Board. Our Board has delegated concurrent authority to administer the Amended 2020 Plan to our Compensation Committee, but may, at any time, revest in itself some or all of the power delegated to our Compensation Committee. Our Board and Compensation Committee are each considered to be a Plan Administrator for purpose of this Proposal 6.</w:t>
      </w:r>
    </w:p>
    <w:p>
      <w:pPr>
        <w:spacing w:after="0" w:line="11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Subject to the terms of the Amended 2020 Plan, the Plan Administrator may determine the recipients, the types of awards to be granted, the number of shares of our common stock subject to or the cash value of awards, and the terms and conditions of awards granted under the Amended 2020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Amended 2020 Plan.</w:t>
      </w:r>
    </w:p>
    <w:p>
      <w:pPr>
        <w:spacing w:after="0" w:line="11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Plan Administrator may also delegate to one or more executive officers the authority to designate employees who are not executive officers to be recipients of certain awards and the number of shares of our common stock subject to such awards. Under any such delegation, the Plan Administrator will specify the total number of shares of our common stock that may be subject to the awards granted by such executive officer. The executive officer may not grant an award to himself or herself.</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Repricing; Cancellation and Re-Grant of Stock Options or Stock Appreciation Rights</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Under the Amended 2020 Plan, unless our stockholders have approved such an action within 12 months prior to such an event, the Plan Administrator does not have the authority to reprice any outstanding stock option or stock appreciation right by (1) reducing the exercise or strike price of the stock option or stock appreciation right or (2) canceling any outstanding stock option or stock appreciation right that has an exercise or strike price greater than the then-current fair market value of our common stock in exchange for cash or other awards.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The Amended 2020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 Subject to the foregoing, the Amended 2020 Plan further provides that dividends or dividend equivalents may be paid or credited to shares of our common stock subject to a restricted stock award or restricted stock unit award granted under the Amended 2020 Plan, as determined by the Plan Administrator and specified in the applicable award agreement.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 on Non-Employee Director Compensation</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aggregate value of all compensation granted or paid by us to any individual for service as a non-employee director with respect to any calendar year (such period, the “annual period”), including awards granted under the Amended 2020 Plan and cash fees paid to such non-employee director, will not exceed</w:t>
      </w:r>
    </w:p>
    <w:p>
      <w:pPr>
        <w:spacing w:after="0" w:line="1" w:lineRule="exact"/>
        <w:rPr>
          <w:sz w:val="20"/>
          <w:szCs w:val="20"/>
          <w:color w:val="auto"/>
        </w:rPr>
      </w:pPr>
    </w:p>
    <w:p>
      <w:pPr>
        <w:jc w:val="both"/>
        <w:ind w:left="1260" w:right="419"/>
        <w:spacing w:after="0"/>
        <w:tabs>
          <w:tab w:leader="none" w:pos="14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or (ii) in the event such non-employee director is first appointed or elected to the Board during such annual period, $750,000 in total value. For purposes of these limitations, the value of any equity awards is calculated based on the grant date fair value of such awards for financial reporting purposes.</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Stock options may be granted under the Amended 2020 Plan pursuant to stock option agreements. The Amended 2020 Plan permits the grant of stock options that are intended to qualify as incentive stock options, or ISOs, and nonstatutory stock options, or NSOs.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2020 Plan may not be less than 100% of the fair market value of the common stock subject to the stock option on the date of grant and, in some cases (see “– Limitations on Incentive Stock Options” below), may not be less than 110% of such fair market value.</w:t>
      </w:r>
    </w:p>
    <w:p>
      <w:pPr>
        <w:spacing w:after="0" w:line="31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The term of stock options granted under the Amended 2020 Plan may not exceed ten years from the date of grant and, in some cases (see “– 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6 as “continuous service”) terminates (other than for cause (as defined in the Amended 2020 Plan) or the participant’s death or disability (as defined in the Amended 2020 Plan)),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the participant may exercise any vested stock options for up to 12 months following the participant’s termination due to the participant’s disability. Except as otherwise provided in a participant’s stock option agreement or other written agreement with us or one of our affiliates, if a participant’s continuous service terminates due to the participant’s death (or the participant dies within a specified period following termination of continuous service), the participant’s beneficiary may exercise any vested stock options for up to 18 months following the participant’s death. Except as explicitly provided otherwise in a participant’s stock option agreement or other written agreement with us or one of our affiliates, if a participant’s continuous service is terminated for cause,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us or one of our affiliates, the term of a stock option may be extended if a participant’s continuous service terminates for any reason other than for cause and, at any time during the last 30 days of the applicable post-termination exercise period, the exercise of the stock option would be prohibited by applicable laws or the sale of any common stock received upon such exercise would violate our insider trading policy. In no event, however, may a stock option be exercised after its original expiration date.</w:t>
      </w:r>
    </w:p>
    <w:p>
      <w:pPr>
        <w:spacing w:after="0" w:line="35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Acceptable forms of consideration for the purchase of our common stock pursuant to the exercise of a stock option under the Amended 2020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Stock options granted under the Amended 2020 Plan may become exercisable in cumulative increments, or “vest,” as determined by the Plan Administrator at the rate specified in the stock option agreement. Shares covered by different stock options granted under the Amended 2020 Plan may be subject to different vesting schedules as the Plan Administrator may determine.</w:t>
      </w:r>
    </w:p>
    <w:p>
      <w:pPr>
        <w:spacing w:after="0" w:line="9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2020 Plan in its discretion. Generally, a participant may not transfer a stock option granted under the Amended 2020 Plan other than by will or the laws of descent and distribution or, subject to approval by the Plan Administrator, pursuant to a domestic relations order. However, the Plan Administrator may permit transfer of a stock option in a manner that is not prohibited by applicable tax and securities laws. Options may not be transferred to a third party financial institution for value.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Incentive Stock Options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ISO must be at least 110% of the fair market value of the common stock subject to the ISO on the date of grant;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ISO must not exceed five years from the date of grant.</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maximum number of shares of our common stock that may be issued pursuant to the exercise of ISOs under the Amended 2020 Plan is 57,818,394 shares.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Stock appreciation rights may be granted under the Amended 2020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term of stock appreciation rights granted under the Amended 2020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2020 Plan.</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Restricted stock awards may be granted under the Amended 2020 Plan pursuant to restricted stock award agreements. A restricted stock award may be granted in consideration for cash, check, bank draft or money order payable to us, the participant’s services performed for us,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Restricted stock unit awards may be granted under the Amended 2020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restricted stock units that have not vested will be forfeited upon the participant’s termination of continuous service for any reason.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The Amended 2020 Plan allows us to grant performance awards. A performance award is an award that may vest or may be exercised, or that may become earned and paid, contingent upon the attainment of pre-determined performance goals during a performance period. A performance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 determine that cash may be used in payment of performance awards.</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Performance goals under the Amended 2020 Plan are, for a performance period, the one or more goals established by the Plan Administrator for the performance period based upon the performance criteria that the Plan Administrator will select.</w:t>
      </w:r>
    </w:p>
    <w:p>
      <w:pPr>
        <w:spacing w:after="0" w:line="9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 setting forth the performance goals at the time the performance goals are established, the Plan Administrator will appropriately make adjustments in the method of calculating the attainment of the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w:t>
      </w:r>
    </w:p>
    <w:p>
      <w:pPr>
        <w:spacing w:after="0" w:line="208" w:lineRule="exact"/>
        <w:rPr>
          <w:sz w:val="20"/>
          <w:szCs w:val="20"/>
          <w:color w:val="auto"/>
        </w:rPr>
      </w:pPr>
    </w:p>
    <w:p>
      <w:pPr>
        <w:ind w:left="1260" w:right="419"/>
        <w:spacing w:after="0" w:line="260" w:lineRule="auto"/>
        <w:tabs>
          <w:tab w:leader="none" w:pos="1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the timing of acceptance for review and/or approval of submissions to the U.S. Food and Drug Administration or any other regulatory body.</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the Plan Administrator retains the discretion to define the manner of calculating the performance criteria it selects to use for a performance period and to reduce or eliminate the compensation or economic benefit due upon the attainment of any performance goal.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Other forms of awards valued in whole or in part by reference to, or otherwise based on, our common stock may be granted either alone or in addition to other awards under the Amended 2020 Plan. Subject to the terms of the Amended 2020 Plan, the Plan Administrator will have sole and complete authority to determine the persons to whom and the time or times at which such other awards will be granted, the number of shares of our common stock to be granted and all other terms and conditions of such other awards.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Awards granted under the Amended 2020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and proportionately adjust: (i) the class(es) and maximum number of shares of our common stock subject to the Amended 2020 Plan; (ii) the class(es) and maximum number of shares of our common stock that may be issued pursuant to the exercise of ISOs; and (iii) the class(es) and number of shares of our common stock and the exercise, strike or purchase price per share of our common stock subject to outstanding awards.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following applies to each outstanding award under the Amended 2020 Plan in the event of a corporate transaction (as defined in the Amended 2020 Plan and described below), unless provided otherwise in the applicable award agreement, in any other written agreement between a participant and the Company or an affiliate, or in any director compensation policy of the Company. For purposes of this Proposal 6, the term “Transaction” will mean such corporate transaction.</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In the event of a Transaction, any awards outstanding under the Amended 2020 Plan may be assumed, continued or substituted for by any surviving or acquiring corporation (or its parent company) (such entity, the “acquiring entity”), and any reacquisition or repurchase rights held by us with respect to the award may be assigned to the acquiring entity. If the acquiring entity does not assume, continue or substitute for such awards, then (i) with respect to any such awards that are held by participants who are employees or non-employee directors and, in each case, whose continuous service has not terminated prior to the effective time of the Transaction (such participants, the “current employee and director participants”), the vesting (and exercisability, if applicable) of such awards will be accelerated in full (and with respect to any such awards that are subject to performance-based vesting conditions or requirements, vesting will be deemed to be satisfied at the target level of performance as of the date of the Transaction) to a date prior to the effective time of the Transaction (contingent upon the effectiveness of the Transaction), and such awards will terminate if not exercised (if applicable) at or prior to the effective time of the Transaction, and any reacquisition or repurchase rights held by us with respect to such awards will lapse (contingent upon the effectiveness of the Transaction), and (ii) any such awards that are held by persons other than current employee and director participants will terminate if not exercised (if applicable) at or prior to the effective time of the Transaction, except that any reacquisition or repurchase rights held by us with respect to such awards will not terminate and may continue to be exercised notwithstanding the Transaction.</w:t>
      </w:r>
    </w:p>
    <w:p>
      <w:pPr>
        <w:spacing w:after="0" w:line="27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the event an award will terminate if not exercised at or prior to the effective time of a Transaction, the Plan Administrator may provide that the holder of such award may not exercise such award but instead will receive a payment equal in value to the excess, if any, of (i) the value of the property the participant would have received upon the exercise of the award, over (ii) any exercise price payable by such holder in connection with such exercise.</w:t>
      </w:r>
    </w:p>
    <w:p>
      <w:pPr>
        <w:spacing w:after="0" w:line="104"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For purposes of the foregoing, an “assumed award” generally means any outstanding award under the Amended 2020 Plan that was assumed or continued, or any outstanding similar award that was granted in substitution for an award under the Amended 2020 Plan, in each case by the acquiring entity in connection with the applicable Transaction.</w:t>
      </w:r>
    </w:p>
    <w:p>
      <w:pPr>
        <w:spacing w:after="0" w:line="11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Under the Amended 2020 Plan, a “corporate transaction” generally means the consummation of any one or more of the following events: (1) a sale or other disposition of all or substantially all of our assets; (2) a sale or other disposition of at least 50% of our outstanding securities; (3) a merger, consolidation or similar transaction where we do not survive the transaction; or (4) a merger, consolidation or similar transaction where we do survive the transaction but the shares of our common stock outstanding immediately before such transaction are converted or exchanged into other property by virtue of the transaction.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Unless provided otherwise in the applicable award agreement, in any other written agreement or plan between a participant and the Company or an affiliate, or in any director compensation policy of the Company, an award will not be subject to additional acceleration of vesting and exercisability upon or after a change in control.</w:t>
      </w:r>
    </w:p>
    <w:p>
      <w:pPr>
        <w:spacing w:after="0" w:line="31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Under the Amended 2020 Plan, a “change in control” generally means the occurrence of any one or more of the following events: (1) the acquisition by any person, entity or group of our securities representing more than 50% of the combined voting power of our then outstanding securities, other than by virtue of a merger, consolidation, or similar transaction; (2) a merger, consolidation or similar transaction in which our stockholders immediately before such transaction do not own, directly or indirectly, more than 50% of the combined voting power of the surviving entity (or the parent of the surviving entity) in substantially the same proportions as their ownership immediately prior to such transaction; (3) our stockholders approve or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Board approves our complete dissolution or liquidation, or our complete dissolution or liquidation otherwise occurs;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 of our Board becomes comprised of individuals who were not serving on our Board on the date the Amended 2020 Plan was adopted by our Compensation Committee (the “incumbent Board”), or whose nomination, appointment, or election was not approved by a majority of the incumbent Board still in office.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Plan Amendments and Termination</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Plan Administrator will have the authority to amend or terminate the Amended 2020 Plan at any time.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 awards may be granted under the Amended 2020 Plan while it is suspended or after it is terminated.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2020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their particular situation, each participant should consult the participant’s tax adviser regarding the federal, state, local and other tax consequences of the grant or exercise of an award or the disposition of stock acquired the Amended 2020 Plan. The Amended 2020 Plan is not qualified under the provisions of Section 401(a) of the Internal Revenue Code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0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participant.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Amended 2020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w:t>
      </w: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disposition exceeds the fair market value of the share on the date of exercise of the stock option, that excess will be short-term or long-term capital gain, depending on whether the holding period for the share exceeds one year.</w:t>
      </w:r>
    </w:p>
    <w:p>
      <w:pPr>
        <w:spacing w:after="0" w:line="304"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2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Code, and provided that either the employee includes that amount in income or we timely satisfy our reporting requirements with respect to that amount.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their receipt of the restricted stock award, to recognize ordinary income, as of the date the recipient receives the restricted stock award, equal to the excess, if any, of the fair market value of the stock on the date the restricted stock award is granted over any amount paid by the recipient for the stock.</w:t>
      </w:r>
    </w:p>
    <w:p>
      <w:pPr>
        <w:spacing w:after="0" w:line="10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award.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Code or an exception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w:t>
      </w:r>
    </w:p>
    <w:p>
      <w:pPr>
        <w:spacing w:after="0" w:line="113"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unit award.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4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stock appreciation right.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162(m) Limitations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Under Section 162(m) of the Code, compensation paid to any publicly held corporation’s “covered employees” that exceeds $1 million per taxable year for any covered employee is generally non-deductible. Awards granted under the Amended 2020 Plan will be subject to the deduction limit under Section 162(m) of the Code and will not be eligible to qualify for the performance-based compensation exception under Section 162(m) of the Code pursuant to the transition relief provided by the Tax Cuts and Jobs Act.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Amended 2020 Plan</w:t>
      </w:r>
    </w:p>
    <w:p>
      <w:pPr>
        <w:spacing w:after="0" w:line="169" w:lineRule="exact"/>
        <w:rPr>
          <w:sz w:val="20"/>
          <w:szCs w:val="20"/>
          <w:color w:val="auto"/>
        </w:rPr>
      </w:pPr>
    </w:p>
    <w:p>
      <w:pPr>
        <w:ind w:left="1260"/>
        <w:spacing w:after="0"/>
        <w:tabs>
          <w:tab w:leader="none" w:pos="8260" w:val="left"/>
        </w:tabs>
        <w:rPr>
          <w:sz w:val="20"/>
          <w:szCs w:val="20"/>
          <w:color w:val="auto"/>
        </w:rPr>
      </w:pPr>
      <w:r>
        <w:rPr>
          <w:rFonts w:ascii="Times New Roman" w:cs="Times New Roman" w:eastAsia="Times New Roman" w:hAnsi="Times New Roman"/>
          <w:sz w:val="14"/>
          <w:szCs w:val="14"/>
          <w:b w:val="1"/>
          <w:bCs w:val="1"/>
          <w:color w:val="auto"/>
        </w:rPr>
        <w:t>Name and position</w:t>
      </w:r>
      <w:r>
        <w:rPr>
          <w:sz w:val="20"/>
          <w:szCs w:val="20"/>
          <w:color w:val="auto"/>
        </w:rPr>
        <w:tab/>
      </w:r>
      <w:r>
        <w:rPr>
          <w:rFonts w:ascii="Times New Roman" w:cs="Times New Roman" w:eastAsia="Times New Roman" w:hAnsi="Times New Roman"/>
          <w:sz w:val="13"/>
          <w:szCs w:val="13"/>
          <w:b w:val="1"/>
          <w:bCs w:val="1"/>
          <w:color w:val="auto"/>
        </w:rPr>
        <w:t>Number of shares</w:t>
      </w:r>
      <w:r>
        <w:rPr>
          <w:rFonts w:ascii="Times New Roman" w:cs="Times New Roman" w:eastAsia="Times New Roman" w:hAnsi="Times New Roman"/>
          <w:sz w:val="15"/>
          <w:szCs w:val="1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26035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 w:lineRule="exact"/>
        <w:rPr>
          <w:sz w:val="20"/>
          <w:szCs w:val="20"/>
          <w:color w:val="auto"/>
        </w:rPr>
      </w:pPr>
    </w:p>
    <w:tbl>
      <w:tblPr>
        <w:tblLayout w:type="fixed"/>
        <w:tblInd w:w="1260" w:type="dxa"/>
        <w:tblCellMar>
          <w:top w:w="0" w:type="dxa"/>
          <w:left w:w="0" w:type="dxa"/>
          <w:bottom w:w="0" w:type="dxa"/>
          <w:right w:w="0" w:type="dxa"/>
        </w:tblCellMar>
      </w:tblPr>
      <w:tr>
        <w:trPr>
          <w:trHeight w:val="250"/>
        </w:trPr>
        <w:tc>
          <w:tcPr>
            <w:tcW w:w="678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 President and Chief Executive Officer</w:t>
            </w:r>
          </w:p>
        </w:tc>
        <w:tc>
          <w:tcPr>
            <w:tcW w:w="220" w:type="dxa"/>
            <w:vAlign w:val="bottom"/>
            <w:tcBorders>
              <w:top w:val="single" w:sz="8" w:color="CCEDFF"/>
            </w:tcBorders>
            <w:shd w:val="clear" w:color="auto" w:fill="CCEDFF"/>
          </w:tcPr>
          <w:p>
            <w:pPr>
              <w:spacing w:after="0"/>
              <w:rPr>
                <w:sz w:val="21"/>
                <w:szCs w:val="21"/>
                <w:color w:val="auto"/>
              </w:rPr>
            </w:pPr>
          </w:p>
        </w:tc>
        <w:tc>
          <w:tcPr>
            <w:tcW w:w="1200" w:type="dxa"/>
            <w:vAlign w:val="bottom"/>
            <w:tcBorders>
              <w:top w:val="single" w:sz="8" w:color="auto"/>
            </w:tcBorders>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 Chief Financial Officer</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0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 Chief Medical Officer</w:t>
            </w:r>
          </w:p>
        </w:tc>
        <w:tc>
          <w:tcPr>
            <w:tcW w:w="120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7000" w:type="dxa"/>
            <w:vAlign w:val="bottom"/>
            <w:gridSpan w:val="2"/>
            <w:vMerge w:val="restart"/>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200" w:type="dxa"/>
            <w:vAlign w:val="bottom"/>
            <w:shd w:val="clear" w:color="auto" w:fill="CCEDFF"/>
          </w:tcPr>
          <w:p>
            <w:pPr>
              <w:ind w:left="70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14"/>
        </w:trPr>
        <w:tc>
          <w:tcPr>
            <w:tcW w:w="7000" w:type="dxa"/>
            <w:vAlign w:val="bottom"/>
            <w:gridSpan w:val="2"/>
            <w:vMerge w:val="continue"/>
            <w:shd w:val="clear" w:color="auto" w:fill="CCEDFF"/>
          </w:tcPr>
          <w:p>
            <w:pPr>
              <w:spacing w:after="0"/>
              <w:rPr>
                <w:sz w:val="9"/>
                <w:szCs w:val="9"/>
                <w:color w:val="auto"/>
              </w:rPr>
            </w:pPr>
          </w:p>
        </w:tc>
        <w:tc>
          <w:tcPr>
            <w:tcW w:w="1200" w:type="dxa"/>
            <w:vAlign w:val="bottom"/>
            <w:shd w:val="clear" w:color="auto" w:fill="CCEDFF"/>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employees, including all current officers who are not executive officers, as a</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8256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85" w:lineRule="exact"/>
        <w:rPr>
          <w:sz w:val="20"/>
          <w:szCs w:val="20"/>
          <w:color w:val="auto"/>
        </w:rPr>
      </w:pPr>
    </w:p>
    <w:p>
      <w:pPr>
        <w:ind w:left="1620" w:right="419" w:hanging="360"/>
        <w:spacing w:after="0" w:line="203" w:lineRule="auto"/>
        <w:tabs>
          <w:tab w:leader="none" w:pos="16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Awards granted under the Amended 2020 Plan to our executive officers and other employees are discretionary and are not subject to set benefits or amounts under the terms of the Amended 2020 Plan.</w:t>
      </w:r>
    </w:p>
    <w:p>
      <w:pPr>
        <w:spacing w:after="0" w:line="46" w:lineRule="exact"/>
        <w:rPr>
          <w:rFonts w:ascii="Times New Roman" w:cs="Times New Roman" w:eastAsia="Times New Roman" w:hAnsi="Times New Roman"/>
          <w:sz w:val="25"/>
          <w:szCs w:val="25"/>
          <w:color w:val="auto"/>
          <w:vertAlign w:val="superscript"/>
        </w:rPr>
      </w:pPr>
    </w:p>
    <w:p>
      <w:pPr>
        <w:jc w:val="both"/>
        <w:ind w:left="1620" w:right="419" w:hanging="360"/>
        <w:spacing w:after="0"/>
        <w:tabs>
          <w:tab w:leader="none" w:pos="16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Awards granted under the Amended 2020 Plan to our non-employee directors are discretionary and are not subject to set benefits or amounts under the terms of the Amended 2020 Plan. However, pursuant to our current compensation program for non-employee directors, each of our current non-employee directors annually is eligible to receive $40,000 of his or her annual retainer in common stock on the date of such year’s annual meeting of stockholders, with such shares determined based on the closing price for our common stock on the day preceding the date of such annual meeting.</w:t>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2020 Plan Benefits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groups indicated, the total number of shares of our common stock subject to awards that have been granted (even if not currently outstanding) under the 2020 Plan through March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2020 Plan</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0"/>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7140" w:type="dxa"/>
            <w:vAlign w:val="bottom"/>
            <w:tcBorders>
              <w:bottom w:val="single" w:sz="8" w:color="auto"/>
            </w:tcBorders>
          </w:tcPr>
          <w:p>
            <w:pPr>
              <w:spacing w:after="0"/>
              <w:rPr>
                <w:sz w:val="2"/>
                <w:szCs w:val="2"/>
                <w:color w:val="auto"/>
              </w:rPr>
            </w:pPr>
          </w:p>
        </w:tc>
        <w:tc>
          <w:tcPr>
            <w:tcW w:w="180" w:type="dxa"/>
            <w:vAlign w:val="bottom"/>
            <w:tcBorders>
              <w:bottom w:val="single" w:sz="8" w:color="CCED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DFF"/>
            </w:tcBorders>
          </w:tcPr>
          <w:p>
            <w:pPr>
              <w:spacing w:after="0"/>
              <w:rPr>
                <w:sz w:val="2"/>
                <w:szCs w:val="2"/>
                <w:color w:val="auto"/>
              </w:rPr>
            </w:pPr>
          </w:p>
        </w:tc>
      </w:tr>
      <w:tr>
        <w:trPr>
          <w:trHeight w:val="25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 President and Chief Executive Officer</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2,649,855</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 Chief Financial Officer</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880,000</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 Chief Medical Officer</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7,154,022</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8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187,500</w:t>
            </w:r>
            <w:r>
              <w:rPr>
                <w:rFonts w:ascii="Times New Roman" w:cs="Times New Roman" w:eastAsia="Times New Roman" w:hAnsi="Times New Roman"/>
                <w:sz w:val="23"/>
                <w:szCs w:val="23"/>
                <w:color w:val="auto"/>
                <w:vertAlign w:val="superscript"/>
              </w:rPr>
              <w:t>(1)</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Each associate of any director, executive officer or nominee</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rights under the 2020 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employees, including all current officers who are not executive officers, as a group</w:t>
            </w:r>
          </w:p>
        </w:tc>
        <w:tc>
          <w:tcPr>
            <w:tcW w:w="8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2,062,525</w:t>
            </w:r>
          </w:p>
        </w:tc>
      </w:tr>
      <w:tr>
        <w:trPr>
          <w:trHeight w:val="54"/>
        </w:trPr>
        <w:tc>
          <w:tcPr>
            <w:tcW w:w="7140" w:type="dxa"/>
            <w:vAlign w:val="bottom"/>
            <w:shd w:val="clear" w:color="auto" w:fill="CCEDFF"/>
          </w:tcPr>
          <w:p>
            <w:pPr>
              <w:spacing w:after="0"/>
              <w:rPr>
                <w:sz w:val="4"/>
                <w:szCs w:val="4"/>
                <w:color w:val="auto"/>
              </w:rPr>
            </w:pPr>
          </w:p>
        </w:tc>
        <w:tc>
          <w:tcPr>
            <w:tcW w:w="180" w:type="dxa"/>
            <w:vAlign w:val="bottom"/>
            <w:shd w:val="clear" w:color="auto" w:fill="CCEDFF"/>
          </w:tcPr>
          <w:p>
            <w:pPr>
              <w:spacing w:after="0"/>
              <w:rPr>
                <w:sz w:val="4"/>
                <w:szCs w:val="4"/>
                <w:color w:val="auto"/>
              </w:rPr>
            </w:pPr>
          </w:p>
        </w:tc>
        <w:tc>
          <w:tcPr>
            <w:tcW w:w="740" w:type="dxa"/>
            <w:vAlign w:val="bottom"/>
            <w:shd w:val="clear" w:color="auto" w:fill="CCEDFF"/>
          </w:tcPr>
          <w:p>
            <w:pPr>
              <w:spacing w:after="0"/>
              <w:rPr>
                <w:sz w:val="4"/>
                <w:szCs w:val="4"/>
                <w:color w:val="auto"/>
              </w:rPr>
            </w:pPr>
          </w:p>
        </w:tc>
        <w:tc>
          <w:tcPr>
            <w:tcW w:w="14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-1576705</wp:posOffset>
            </wp:positionV>
            <wp:extent cx="93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-1576705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2021. Information is included for equity compensation plans approved by our stockholders. We do not have any equity compensation plans not approved by our stockholders.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 for</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Average Exercise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Issuance Under</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 be Issued Upon</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Options and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Reflected in</w:t>
            </w:r>
          </w:p>
        </w:tc>
      </w:tr>
      <w:tr>
        <w:trPr>
          <w:trHeight w:val="190"/>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r>
      <w:tr>
        <w:trPr>
          <w:trHeight w:val="23"/>
        </w:trPr>
        <w:tc>
          <w:tcPr>
            <w:tcW w:w="2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960" w:type="dxa"/>
            <w:vAlign w:val="bottom"/>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1300" w:type="dxa"/>
            <w:vAlign w:val="bottom"/>
            <w:shd w:val="clear" w:color="auto" w:fill="CCEDFF"/>
          </w:tcPr>
          <w:p>
            <w:pPr>
              <w:jc w:val="right"/>
              <w:ind w:right="81"/>
              <w:spacing w:after="0" w:line="250" w:lineRule="exact"/>
              <w:rPr>
                <w:sz w:val="20"/>
                <w:szCs w:val="20"/>
                <w:color w:val="auto"/>
              </w:rPr>
            </w:pPr>
            <w:r>
              <w:rPr>
                <w:rFonts w:ascii="Times New Roman" w:cs="Times New Roman" w:eastAsia="Times New Roman" w:hAnsi="Times New Roman"/>
                <w:sz w:val="18"/>
                <w:szCs w:val="18"/>
                <w:color w:val="auto"/>
              </w:rPr>
              <w:t>7,686,233</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DFF"/>
          </w:tcPr>
          <w:p>
            <w:pPr>
              <w:spacing w:after="0"/>
              <w:rPr>
                <w:sz w:val="21"/>
                <w:szCs w:val="21"/>
                <w:color w:val="auto"/>
              </w:rPr>
            </w:pPr>
          </w:p>
        </w:tc>
        <w:tc>
          <w:tcPr>
            <w:tcW w:w="1060" w:type="dxa"/>
            <w:vAlign w:val="bottom"/>
            <w:shd w:val="clear" w:color="auto" w:fill="CCEDFF"/>
          </w:tcPr>
          <w:p>
            <w:pPr>
              <w:jc w:val="right"/>
              <w:ind w:right="242"/>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DFF"/>
          </w:tcPr>
          <w:p>
            <w:pPr>
              <w:spacing w:after="0"/>
              <w:rPr>
                <w:sz w:val="21"/>
                <w:szCs w:val="21"/>
                <w:color w:val="auto"/>
              </w:rPr>
            </w:pPr>
          </w:p>
        </w:tc>
        <w:tc>
          <w:tcPr>
            <w:tcW w:w="1460" w:type="dxa"/>
            <w:vAlign w:val="bottom"/>
            <w:shd w:val="clear" w:color="auto" w:fill="CCEDFF"/>
          </w:tcPr>
          <w:p>
            <w:pPr>
              <w:jc w:val="right"/>
              <w:ind w:right="163"/>
              <w:spacing w:after="0" w:line="250" w:lineRule="exact"/>
              <w:rPr>
                <w:sz w:val="20"/>
                <w:szCs w:val="20"/>
                <w:color w:val="auto"/>
              </w:rPr>
            </w:pPr>
            <w:r>
              <w:rPr>
                <w:rFonts w:ascii="Times New Roman" w:cs="Times New Roman" w:eastAsia="Times New Roman" w:hAnsi="Times New Roman"/>
                <w:sz w:val="18"/>
                <w:szCs w:val="18"/>
                <w:color w:val="auto"/>
              </w:rPr>
              <w:t>2,936,526</w:t>
            </w:r>
            <w:r>
              <w:rPr>
                <w:rFonts w:ascii="Times New Roman" w:cs="Times New Roman" w:eastAsia="Times New Roman" w:hAnsi="Times New Roman"/>
                <w:sz w:val="23"/>
                <w:szCs w:val="23"/>
                <w:color w:val="auto"/>
                <w:vertAlign w:val="superscript"/>
              </w:rPr>
              <w:t>(2)</w:t>
            </w:r>
          </w:p>
        </w:tc>
      </w:tr>
      <w:tr>
        <w:trPr>
          <w:trHeight w:val="270"/>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3960" w:type="dxa"/>
            <w:vAlign w:val="bottom"/>
            <w:tcBorders>
              <w:bottom w:val="single" w:sz="8" w:color="CCEDFF"/>
            </w:tcBorders>
            <w:gridSpan w:val="3"/>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CEDFF"/>
            </w:tcBorders>
            <w:shd w:val="clear" w:color="auto" w:fill="CCEDFF"/>
          </w:tcPr>
          <w:p>
            <w:pPr>
              <w:jc w:val="right"/>
              <w:ind w:right="221"/>
              <w:spacing w:after="0"/>
              <w:rPr>
                <w:sz w:val="20"/>
                <w:szCs w:val="20"/>
                <w:color w:val="auto"/>
              </w:rPr>
            </w:pPr>
            <w:r>
              <w:rPr>
                <w:rFonts w:ascii="Times New Roman" w:cs="Times New Roman" w:eastAsia="Times New Roman" w:hAnsi="Times New Roman"/>
                <w:sz w:val="18"/>
                <w:szCs w:val="18"/>
                <w:color w:val="auto"/>
              </w:rPr>
              <w:t>7,686,233</w:t>
            </w:r>
          </w:p>
        </w:tc>
        <w:tc>
          <w:tcPr>
            <w:tcW w:w="200" w:type="dxa"/>
            <w:vAlign w:val="bottom"/>
            <w:tcBorders>
              <w:bottom w:val="single" w:sz="8" w:color="CCEDFF"/>
            </w:tcBorders>
            <w:shd w:val="clear" w:color="auto" w:fill="CCEDFF"/>
          </w:tcPr>
          <w:p>
            <w:pPr>
              <w:spacing w:after="0"/>
              <w:rPr>
                <w:sz w:val="24"/>
                <w:szCs w:val="24"/>
                <w:color w:val="auto"/>
              </w:rPr>
            </w:pPr>
          </w:p>
        </w:tc>
        <w:tc>
          <w:tcPr>
            <w:tcW w:w="1060" w:type="dxa"/>
            <w:vAlign w:val="bottom"/>
            <w:tcBorders>
              <w:bottom w:val="single" w:sz="8" w:color="CCEDFF"/>
            </w:tcBorders>
            <w:shd w:val="clear" w:color="auto" w:fill="CCEDFF"/>
          </w:tcPr>
          <w:p>
            <w:pPr>
              <w:jc w:val="right"/>
              <w:ind w:right="242"/>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Borders>
              <w:bottom w:val="single" w:sz="8" w:color="CCEDFF"/>
            </w:tcBorders>
            <w:shd w:val="clear" w:color="auto" w:fill="CCEDFF"/>
          </w:tcPr>
          <w:p>
            <w:pPr>
              <w:spacing w:after="0"/>
              <w:rPr>
                <w:sz w:val="24"/>
                <w:szCs w:val="24"/>
                <w:color w:val="auto"/>
              </w:rPr>
            </w:pPr>
          </w:p>
        </w:tc>
        <w:tc>
          <w:tcPr>
            <w:tcW w:w="1460" w:type="dxa"/>
            <w:vAlign w:val="bottom"/>
            <w:tcBorders>
              <w:bottom w:val="single" w:sz="8" w:color="CCEDFF"/>
            </w:tcBorders>
            <w:shd w:val="clear" w:color="auto" w:fill="CCEDFF"/>
          </w:tcPr>
          <w:p>
            <w:pPr>
              <w:jc w:val="right"/>
              <w:ind w:right="283"/>
              <w:spacing w:after="0"/>
              <w:rPr>
                <w:sz w:val="20"/>
                <w:szCs w:val="20"/>
                <w:color w:val="auto"/>
              </w:rPr>
            </w:pPr>
            <w:r>
              <w:rPr>
                <w:rFonts w:ascii="Times New Roman" w:cs="Times New Roman" w:eastAsia="Times New Roman" w:hAnsi="Times New Roman"/>
                <w:sz w:val="18"/>
                <w:szCs w:val="18"/>
                <w:color w:val="auto"/>
              </w:rPr>
              <w:t>2,936,526</w:t>
            </w:r>
          </w:p>
        </w:tc>
      </w:tr>
      <w:tr>
        <w:trPr>
          <w:trHeight w:val="230"/>
        </w:trPr>
        <w:tc>
          <w:tcPr>
            <w:tcW w:w="288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-702310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-702310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-702310</wp:posOffset>
            </wp:positionV>
            <wp:extent cx="128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15" w:lineRule="exact"/>
        <w:rPr>
          <w:sz w:val="20"/>
          <w:szCs w:val="20"/>
          <w:color w:val="auto"/>
        </w:rPr>
      </w:pPr>
    </w:p>
    <w:p>
      <w:pPr>
        <w:ind w:left="1620" w:right="419" w:hanging="360"/>
        <w:spacing w:after="0" w:line="203" w:lineRule="auto"/>
        <w:tabs>
          <w:tab w:leader="none" w:pos="16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All such shares were granted under our 2009 Incentive Plan, our 2014 Omnibus Stock Ownership Plan or our 2020 Equity Incentive Plan.</w:t>
      </w:r>
    </w:p>
    <w:p>
      <w:pPr>
        <w:ind w:left="1620" w:hanging="360"/>
        <w:spacing w:after="0" w:line="214" w:lineRule="auto"/>
        <w:tabs>
          <w:tab w:leader="none" w:pos="16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Includes 2,936,526 shares of common stock available for issuance under our 2020 Equity Incentive Plan.</w:t>
      </w:r>
    </w:p>
    <w:p>
      <w:pPr>
        <w:spacing w:after="0" w:line="20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7</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13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Marcum LLP as the Company’s independent registered public accounting firm for the fiscal year ending December 31, 2022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3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online at the virtual meeting or represented by proxy and entitled to vote on the matter at the Annual Meeting will be required to ratify the selection of Marcum LLP.</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5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2021 and 2020 by Marcum LLP, the Company’s principal accountant.</w:t>
      </w:r>
    </w:p>
    <w:p>
      <w:pPr>
        <w:spacing w:after="0" w:line="12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22225</wp:posOffset>
            </wp:positionV>
            <wp:extent cx="1028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6380" w:type="dxa"/>
            <w:vAlign w:val="bottom"/>
            <w:tcBorders>
              <w:bottom w:val="single" w:sz="8" w:color="CCEDFF"/>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D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1"/>
        </w:trPr>
        <w:tc>
          <w:tcPr>
            <w:tcW w:w="638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20" w:type="dxa"/>
            <w:vAlign w:val="bottom"/>
            <w:tcBorders>
              <w:right w:val="single" w:sz="8" w:color="CCEDFF"/>
            </w:tcBorders>
            <w:shd w:val="clear" w:color="auto" w:fill="CCEDFF"/>
          </w:tcPr>
          <w:p>
            <w:pPr>
              <w:spacing w:after="0"/>
              <w:rPr>
                <w:sz w:val="24"/>
                <w:szCs w:val="24"/>
                <w:color w:val="auto"/>
              </w:rPr>
            </w:pPr>
          </w:p>
        </w:tc>
        <w:tc>
          <w:tcPr>
            <w:tcW w:w="920" w:type="dxa"/>
            <w:vAlign w:val="bottom"/>
            <w:tcBorders>
              <w:right w:val="single" w:sz="8" w:color="CCEDFF"/>
            </w:tcBorders>
            <w:gridSpan w:val="2"/>
            <w:shd w:val="clear" w:color="auto" w:fill="CCEDFF"/>
          </w:tcPr>
          <w:p>
            <w:pPr>
              <w:jc w:val="center"/>
              <w:ind w:right="220"/>
              <w:spacing w:after="0"/>
              <w:rPr>
                <w:sz w:val="20"/>
                <w:szCs w:val="20"/>
                <w:color w:val="auto"/>
              </w:rPr>
            </w:pPr>
            <w:r>
              <w:rPr>
                <w:rFonts w:ascii="Times New Roman" w:cs="Times New Roman" w:eastAsia="Times New Roman" w:hAnsi="Times New Roman"/>
                <w:sz w:val="18"/>
                <w:szCs w:val="18"/>
                <w:color w:val="auto"/>
              </w:rPr>
              <w:t>$238,000</w:t>
            </w:r>
          </w:p>
        </w:tc>
        <w:tc>
          <w:tcPr>
            <w:tcW w:w="6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$185,400</w:t>
            </w:r>
          </w:p>
        </w:tc>
      </w:tr>
      <w:tr>
        <w:trPr>
          <w:trHeight w:val="20"/>
        </w:trPr>
        <w:tc>
          <w:tcPr>
            <w:tcW w:w="638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Fees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$238,000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-368300</wp:posOffset>
            </wp:positionV>
            <wp:extent cx="47663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63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8256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8" w:lineRule="exact"/>
        <w:rPr>
          <w:sz w:val="20"/>
          <w:szCs w:val="20"/>
          <w:color w:val="auto"/>
        </w:rPr>
      </w:pPr>
    </w:p>
    <w:p>
      <w:pPr>
        <w:jc w:val="both"/>
        <w:ind w:left="1620" w:right="419" w:hanging="360"/>
        <w:spacing w:after="0"/>
        <w:tabs>
          <w:tab w:leader="none" w:pos="16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2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7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Marcum LLP.</w:t>
      </w:r>
    </w:p>
    <w:p>
      <w:pPr>
        <w:spacing w:after="0" w:line="81"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Marcum LLP is compatible with maintaining the principal accountant’s independence.</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7.</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1, 2022, are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4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Hoang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 Chief Operating Officer and Director</w:t>
            </w:r>
          </w:p>
        </w:tc>
      </w:tr>
      <w:tr>
        <w:trPr>
          <w:trHeight w:val="25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Mythili Koneru, M.D.,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Nadia Agopyan,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Regulatory Affairs</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Garrett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Clinical Operations</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Tsvetelina Hoang,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Research &amp; Development</w:t>
            </w: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 Szymanska</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Quality</w:t>
            </w:r>
          </w:p>
        </w:tc>
      </w:tr>
    </w:tbl>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biographies of Peter Hoang and Juan Vera are set forth in “Proposal 1: Election of Directors” above.</w:t>
      </w:r>
    </w:p>
    <w:p>
      <w:pPr>
        <w:spacing w:after="0" w:line="15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Anthony Kim </w:t>
      </w:r>
      <w:r>
        <w:rPr>
          <w:rFonts w:ascii="Times New Roman" w:cs="Times New Roman" w:eastAsia="Times New Roman" w:hAnsi="Times New Roman"/>
          <w:sz w:val="18"/>
          <w:szCs w:val="18"/>
          <w:color w:val="auto"/>
        </w:rPr>
        <w:t>has served as our Chief Financial Officer since November 2018. Mr. Kim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Executive Director in the Healthcare Group of Nomura Securities International, Inc. from October 2017 until November 2018. Before joining Nomura, Mr. Kim served as Senior Vice President in the Healthcare Group of Houlihan Lokey from April 2016 to October 2017 and, prior to that, as a Senior Vice President at Jefferies in their Healthcare Group from 2012 to March 2016. Mr. Kim earned an AB in Economics from the University of Chicago and an M.B.A. with a concentration in Finance from the Anderson School of Management at the University of California, Los Angeles.</w:t>
      </w:r>
    </w:p>
    <w:p>
      <w:pPr>
        <w:spacing w:after="0" w:line="104"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Mythili Koneru, M.D., Ph.D. </w:t>
      </w:r>
      <w:r>
        <w:rPr>
          <w:rFonts w:ascii="Times New Roman" w:cs="Times New Roman" w:eastAsia="Times New Roman" w:hAnsi="Times New Roman"/>
          <w:sz w:val="18"/>
          <w:szCs w:val="18"/>
          <w:color w:val="auto"/>
        </w:rPr>
        <w:t>has served as our Chief Medical Officer since December 2019. Dr. Koneru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Vice President of Clinical Development from February 2019 to December 2019. Dr. Koneru previously served in positions of increasing responsibility at Eli Lilly and Company from April 2015 to February 2019, most recently as Associate Vice President of Immuno-Oncology. Prior to Eli Lilly, Dr. Koneru was an oncology fellow in the laboratory of Dr. Renier Brentjens at Memorial Sloan-Kettering Cancer Center. Dr. Koneru earned a B.A. in Cellular and Molecular Biology from the University of Chicago, a Ph.D. in Biomedical Research: Tumor Immunology from New York University and an M.D. from the Robert Wood Johnson Medical School.</w:t>
      </w:r>
    </w:p>
    <w:p>
      <w:pPr>
        <w:spacing w:after="0" w:line="12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Loiacono </w:t>
      </w:r>
      <w:r>
        <w:rPr>
          <w:rFonts w:ascii="Times New Roman" w:cs="Times New Roman" w:eastAsia="Times New Roman" w:hAnsi="Times New Roman"/>
          <w:sz w:val="18"/>
          <w:szCs w:val="18"/>
          <w:color w:val="auto"/>
        </w:rPr>
        <w:t>has served as our Chief Accounting Officer, Secretary and Treasurer since August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Loiacono also previously served as our Chief Financial Officer from August 2016 until November 2018 when the roles of Chief Accounting Officer and Chief Financial Officer of the Company were separated. Mr. Loiacono previously was responsible for strategic development at FTCI, Inc. from 2013 to August 2016. Mr. Loiacono earned a B.S. from Rutgers University.</w:t>
      </w:r>
    </w:p>
    <w:p>
      <w:pPr>
        <w:spacing w:after="0" w:line="113"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Nadia Agopyan, Ph.D. </w:t>
      </w:r>
      <w:r>
        <w:rPr>
          <w:rFonts w:ascii="Times New Roman" w:cs="Times New Roman" w:eastAsia="Times New Roman" w:hAnsi="Times New Roman"/>
          <w:sz w:val="18"/>
          <w:szCs w:val="18"/>
          <w:color w:val="auto"/>
        </w:rPr>
        <w:t>has served as our Vice President of Regulatory Affairs since August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Agopyan previously served as Director of Regulatory Affairs of Kite Pharma, a subsidiary of Gilead Sciences, from April 2015 to August 2019. She also served as Global Regulatory Lead at Baxter Biosciences from 2012 to April 2015. Ms. Agopyan earned a B.Sc. and a Ph.D. in Neurophysiology from McGill University.</w:t>
      </w:r>
    </w:p>
    <w:p>
      <w:pPr>
        <w:spacing w:after="0" w:line="318"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Garrett </w:t>
      </w:r>
      <w:r>
        <w:rPr>
          <w:rFonts w:ascii="Times New Roman" w:cs="Times New Roman" w:eastAsia="Times New Roman" w:hAnsi="Times New Roman"/>
          <w:sz w:val="18"/>
          <w:szCs w:val="18"/>
          <w:color w:val="auto"/>
        </w:rPr>
        <w:t>has served as our Vice President of Clinical Operations since November 2019, a position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from April 2016 to November 2019 as a consultant and thereafter as our employee. Mr. Garrett has also owned and operated CMB Consulting, Inc., a contract research organization, since 2003. Mr. Garrett earned a B.S. in Biology from Texas A&amp;M University.</w:t>
      </w:r>
    </w:p>
    <w:p>
      <w:pPr>
        <w:spacing w:after="0" w:line="10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Tsvetelina P. Hoang, Ph.D. </w:t>
      </w:r>
      <w:r>
        <w:rPr>
          <w:rFonts w:ascii="Times New Roman" w:cs="Times New Roman" w:eastAsia="Times New Roman" w:hAnsi="Times New Roman"/>
          <w:sz w:val="18"/>
          <w:szCs w:val="18"/>
          <w:color w:val="auto"/>
        </w:rPr>
        <w:t>has served as our Vice President of Research and Development since July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previously served in positions of increasing responsibility at Bellicum Pharmaceuticals, Inc. from February 2015 to July 2018, including as Senior Scientist and most recently as Director of Translational Research. Previously, she was a member of the faculty at The University of Texas MD Anderson Cancer Center from 2013 to 2015. Ms. Hoang earned a combined B.S./M.S. in Molecular Biophysics and Biochemistry from Yale University and a Ph.D. in Biology from Johns Hopkins University.</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Anna Szymanska </w:t>
      </w:r>
      <w:r>
        <w:rPr>
          <w:rFonts w:ascii="Times New Roman" w:cs="Times New Roman" w:eastAsia="Times New Roman" w:hAnsi="Times New Roman"/>
          <w:sz w:val="18"/>
          <w:szCs w:val="18"/>
          <w:color w:val="auto"/>
        </w:rPr>
        <w:t>has served as our Vice President of Quality since December 2019. She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Director of Quality from April 2019 to December 2019. Prior to joining our Company, Ms. Szymanska served as Director of Quality Control for Bellicum Pharmaceuticals, Inc. from May 2016 to March 2019. She also served as Quality Validation Specialists and Project Manager of Opexa Therapeutics, Inc. from August 2015 to March 2016 and in roles of increasing responsibility at Woodfield Pharmaceutical, LLC (formerly Pernix Manufacturing, LLC) from 2008 to August 2015, most recently as Director of Microbiology. Ms. Szymanska earned an M.S. in Microbiology from the University of Warsaw.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5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 2022 by: (i) each director and nominee for director; (ii) each named executive officer; (iii) 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April 30, 2022.</w:t>
      </w:r>
    </w:p>
    <w:p>
      <w:pPr>
        <w:spacing w:after="0" w:line="12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1270</wp:posOffset>
            </wp:positionV>
            <wp:extent cx="18688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p>
      <w:pPr>
        <w:spacing w:after="0" w:line="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Enterprise Associates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Aisling Capital IV LP</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Peter L. Hoang</w:t>
      </w:r>
      <w:r>
        <w:rPr>
          <w:rFonts w:ascii="Times New Roman" w:cs="Times New Roman" w:eastAsia="Times New Roman" w:hAnsi="Times New Roman"/>
          <w:sz w:val="23"/>
          <w:szCs w:val="23"/>
          <w:color w:val="auto"/>
          <w:vertAlign w:val="superscript"/>
        </w:rPr>
        <w:t>(4)</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Anthony Kim</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Mythili Koneru</w:t>
      </w:r>
      <w:r>
        <w:rPr>
          <w:rFonts w:ascii="Times New Roman" w:cs="Times New Roman" w:eastAsia="Times New Roman" w:hAnsi="Times New Roman"/>
          <w:sz w:val="23"/>
          <w:szCs w:val="23"/>
          <w:color w:val="auto"/>
          <w:vertAlign w:val="superscript"/>
        </w:rPr>
        <w:t>(6)</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Steven Elms</w:t>
      </w:r>
      <w:r>
        <w:rPr>
          <w:rFonts w:ascii="Times New Roman" w:cs="Times New Roman" w:eastAsia="Times New Roman" w:hAnsi="Times New Roman"/>
          <w:sz w:val="23"/>
          <w:szCs w:val="23"/>
          <w:color w:val="auto"/>
          <w:vertAlign w:val="superscript"/>
        </w:rPr>
        <w:t>(8)</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David Laskow-Pooley</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Dr. Juan Vera, M.D</w:t>
      </w:r>
      <w:r>
        <w:rPr>
          <w:rFonts w:ascii="Times New Roman" w:cs="Times New Roman" w:eastAsia="Times New Roman" w:hAnsi="Times New Roman"/>
          <w:sz w:val="23"/>
          <w:szCs w:val="23"/>
          <w:color w:val="auto"/>
          <w:vertAlign w:val="superscript"/>
        </w:rPr>
        <w:t>(10)</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Frederick Wasserman</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John Wilson</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Katharine Knobil</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All executive officers and directors as a group (15 persons)</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172720</wp:posOffset>
            </wp:positionV>
            <wp:extent cx="18256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95"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360" w:type="dxa"/>
            <w:vAlign w:val="bottom"/>
          </w:tcPr>
          <w:p>
            <w:pPr>
              <w:spacing w:after="0"/>
              <w:rPr>
                <w:sz w:val="17"/>
                <w:szCs w:val="17"/>
                <w:color w:val="auto"/>
              </w:rPr>
            </w:pPr>
          </w:p>
        </w:tc>
      </w:tr>
      <w:tr>
        <w:trPr>
          <w:trHeight w:val="245"/>
        </w:trPr>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Percent of Total</w:t>
            </w:r>
          </w:p>
        </w:tc>
      </w:tr>
      <w:tr>
        <w:trPr>
          <w:trHeight w:val="540"/>
        </w:trPr>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14,464,285</w:t>
            </w:r>
          </w:p>
        </w:tc>
        <w:tc>
          <w:tcPr>
            <w:tcW w:w="220" w:type="dxa"/>
            <w:vAlign w:val="bottom"/>
          </w:tcPr>
          <w:p>
            <w:pPr>
              <w:spacing w:after="0"/>
              <w:rPr>
                <w:sz w:val="24"/>
                <w:szCs w:val="24"/>
                <w:color w:val="auto"/>
              </w:rPr>
            </w:pPr>
          </w:p>
        </w:tc>
        <w:tc>
          <w:tcPr>
            <w:tcW w:w="13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17.4%</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4,642,857</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540"/>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1,918,076</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486,649</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367,929</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49,440</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4,685,037</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67,723</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3,845,209</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8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77,723</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10,022,450</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12.1%</w:t>
            </w:r>
          </w:p>
        </w:tc>
      </w:tr>
      <w:tr>
        <w:trPr>
          <w:trHeight w:val="28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15,388</w:t>
            </w:r>
          </w:p>
        </w:tc>
        <w:tc>
          <w:tcPr>
            <w:tcW w:w="22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22,608,919</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27.2%</w:t>
            </w:r>
          </w:p>
        </w:tc>
      </w:tr>
    </w:tbl>
    <w:p>
      <w:pPr>
        <w:spacing w:after="0" w:line="683" w:lineRule="exact"/>
        <w:rPr>
          <w:sz w:val="20"/>
          <w:szCs w:val="20"/>
          <w:color w:val="auto"/>
        </w:rPr>
      </w:pPr>
    </w:p>
    <w:p>
      <w:pPr>
        <w:sectPr>
          <w:pgSz w:w="11900" w:h="16838" w:orient="portrait"/>
          <w:cols w:equalWidth="0" w:num="2">
            <w:col w:w="6120" w:space="400"/>
            <w:col w:w="3359"/>
          </w:cols>
          <w:pgMar w:left="580" w:top="97" w:right="1440" w:bottom="1440" w:gutter="0" w:footer="0" w:header="0"/>
          <w:type w:val="continuous"/>
        </w:sectPr>
      </w:pPr>
    </w:p>
    <w:p>
      <w:pPr>
        <w:jc w:val="both"/>
        <w:ind w:left="2020" w:right="419" w:hanging="760"/>
        <w:spacing w:after="0" w:line="256" w:lineRule="auto"/>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83,013,929 shares outstanding on March 1, 2022, adjusted as required by rules promulgated by the SEC.</w:t>
      </w:r>
    </w:p>
    <w:p>
      <w:pPr>
        <w:spacing w:after="0" w:line="52" w:lineRule="exact"/>
        <w:rPr>
          <w:rFonts w:ascii="Times New Roman" w:cs="Times New Roman" w:eastAsia="Times New Roman" w:hAnsi="Times New Roman"/>
          <w:sz w:val="18"/>
          <w:szCs w:val="18"/>
          <w:color w:val="auto"/>
        </w:rPr>
      </w:pPr>
    </w:p>
    <w:p>
      <w:pPr>
        <w:jc w:val="both"/>
        <w:ind w:left="2020" w:right="419" w:hanging="760"/>
        <w:spacing w:after="0" w:line="261" w:lineRule="auto"/>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filed on March 16, 2021 with the SEC by New Enterprise Associates 16, L.P. (“NEA 16”) and its affiliates. Consists of</w:t>
      </w:r>
    </w:p>
    <w:p>
      <w:pPr>
        <w:jc w:val="both"/>
        <w:ind w:left="2020" w:right="419" w:hanging="4"/>
        <w:spacing w:after="0" w:line="251" w:lineRule="auto"/>
        <w:tabs>
          <w:tab w:leader="none" w:pos="23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10,714,285 shares of common stock held directly by NEA 16 and (b) 3,750,000 shares of common stock issuable upon the exercise of warrants held directly by NEA 16. NEA Partners 16, L.P. (“NEA Partners 16”) is the sole general partner of NEA 16, and NEA 16 GP, LLC (“NEA 16 LLC”) is the sole general partner of NEA Partner 16. The mangers of NEA 16 LLC are Peter J. Barris, Forest Baskett, Ali Behbahani, Carmen Chang, Anthony A. Florence, Jr., Mohamad H. Makhzoumi, Joshua Makower, David M. Mott, Scott D. Sandell, Peter W. Sonsini, Ravi Viswanathan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260" w:lineRule="exact"/>
        <w:rPr>
          <w:rFonts w:ascii="Times New Roman" w:cs="Times New Roman" w:eastAsia="Times New Roman" w:hAnsi="Times New Roman"/>
          <w:sz w:val="18"/>
          <w:szCs w:val="18"/>
          <w:color w:val="auto"/>
        </w:rPr>
      </w:pPr>
    </w:p>
    <w:p>
      <w:pPr>
        <w:jc w:val="both"/>
        <w:ind w:left="2020" w:right="419" w:hanging="760"/>
        <w:spacing w:after="0" w:line="259" w:lineRule="auto"/>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 filed on October 19, 2018 with the SEC by Aisling Capital IV, LP (“Aisling”) and its affiliates. Consists of (a) 3,142,857 shares of common stock held directly by Aisling and (b) 1,500,000 shares of common stock issuable upon exercise of warrants held directly by Aisling. Aisling Capital Partners IV, LP, (“Aisling LP”) is the general</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020" w:right="419"/>
        <w:spacing w:after="0" w:line="256" w:lineRule="auto"/>
        <w:rPr>
          <w:sz w:val="20"/>
          <w:szCs w:val="20"/>
          <w:color w:val="auto"/>
        </w:rPr>
      </w:pPr>
      <w:r>
        <w:rPr>
          <w:rFonts w:ascii="Times New Roman" w:cs="Times New Roman" w:eastAsia="Times New Roman" w:hAnsi="Times New Roman"/>
          <w:sz w:val="18"/>
          <w:szCs w:val="18"/>
          <w:color w:val="auto"/>
        </w:rPr>
        <w:t>partner of Aisling and Aisling Capital Partners IV LLC, (“Aisling LLC”) is the general partner of Aisling LLC. Steven Elms, a member of the Company’s board of directors, and Mr. Andrew Schiff are the managing members of Aisling LLC (together, the “Managing Members”). Aisling, Aisling LP, Aisling LLC and the Managing Members share voting and dispositive power with regard to the shares owned directly by Aisling. The principal business address for all entities and individuals affiliated with Aisling is Aisling Capital, 888 Seventh Avenue, 12th Floor, New York, NY 10106.</w:t>
      </w:r>
    </w:p>
    <w:p>
      <w:pPr>
        <w:spacing w:after="0" w:line="255" w:lineRule="exact"/>
        <w:rPr>
          <w:sz w:val="20"/>
          <w:szCs w:val="20"/>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332,568 shares of common stock and (b) 1,585,508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486,649 shares of common stock issuable upon exercise of options within 60 days of March 1, 2022.</w:t>
      </w:r>
    </w:p>
    <w:p>
      <w:pPr>
        <w:spacing w:after="0" w:line="26"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367,929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36,940 shares of common stock and (b) 12,500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jc w:val="both"/>
        <w:ind w:left="2020" w:right="419" w:hanging="760"/>
        <w:spacing w:after="0" w:line="258"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29,680 shares of common stock held directly by Mr. Elms, (b) 3,142,857 shares of common stock held directly by Aisling as described above in footnote 4, (c) 1,500,000 shares of common stock issuable upon exercise of warrants held directly by Aisling as described above in footnote 4 and (d) 10,941 shares of common stock issuable upon exercise of options within 60 days of March 1, 2022.</w:t>
      </w:r>
    </w:p>
    <w:p>
      <w:pPr>
        <w:spacing w:after="0" w:line="48"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55,223 shares of common stock and (b) 12,500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jc w:val="both"/>
        <w:ind w:left="2020" w:right="419" w:hanging="760"/>
        <w:spacing w:after="0" w:line="266"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2,564,487 shares of common stock, (b) 722,783 shares of common stock issuable upon exercise of warrants within 60 days of March 31, 2021 and (c) 557,939 shares of common stock issuable upon exercise of options within 60 days of March 1, 2022.</w:t>
      </w:r>
    </w:p>
    <w:p>
      <w:pPr>
        <w:spacing w:after="0" w:line="27"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65,223 shares of common stock and (b) 12,500 shares of common stock issuable upon exercise of options within 60 days of March 1, 2022.</w:t>
      </w:r>
    </w:p>
    <w:p>
      <w:pPr>
        <w:spacing w:after="0" w:line="26" w:lineRule="exact"/>
        <w:rPr>
          <w:rFonts w:ascii="Times New Roman" w:cs="Times New Roman" w:eastAsia="Times New Roman" w:hAnsi="Times New Roman"/>
          <w:sz w:val="18"/>
          <w:szCs w:val="18"/>
          <w:color w:val="auto"/>
        </w:rPr>
      </w:pPr>
    </w:p>
    <w:p>
      <w:pPr>
        <w:jc w:val="both"/>
        <w:ind w:left="2020" w:right="419" w:hanging="760"/>
        <w:spacing w:after="0" w:line="266"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7,799,350 shares of common stock, (b) 2,197,942 shares of common stock issuable upon exercise of warrants within 60 days of March 31, 2021 and (c) 12,500 shares of common stock issuable upon exercise of options within 60 days of March 1, 2022.</w:t>
      </w:r>
    </w:p>
    <w:p>
      <w:pPr>
        <w:spacing w:after="0" w:line="27" w:lineRule="exact"/>
        <w:rPr>
          <w:rFonts w:ascii="Times New Roman" w:cs="Times New Roman" w:eastAsia="Times New Roman" w:hAnsi="Times New Roman"/>
          <w:sz w:val="18"/>
          <w:szCs w:val="18"/>
          <w:color w:val="auto"/>
        </w:rPr>
      </w:pPr>
    </w:p>
    <w:p>
      <w:pPr>
        <w:ind w:left="2020" w:right="419" w:hanging="760"/>
        <w:spacing w:after="0" w:line="282"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1,500 shares of common stock and (b) 6,944 shares of common stock issuable upon exercise of options within 60 days of March 1, 2022.</w:t>
      </w:r>
    </w:p>
    <w:p>
      <w:pPr>
        <w:spacing w:after="0" w:line="13" w:lineRule="exact"/>
        <w:rPr>
          <w:rFonts w:ascii="Times New Roman" w:cs="Times New Roman" w:eastAsia="Times New Roman" w:hAnsi="Times New Roman"/>
          <w:sz w:val="18"/>
          <w:szCs w:val="18"/>
          <w:color w:val="auto"/>
        </w:rPr>
      </w:pPr>
    </w:p>
    <w:p>
      <w:pPr>
        <w:jc w:val="both"/>
        <w:ind w:left="2020" w:right="419" w:hanging="760"/>
        <w:spacing w:after="0" w:line="266" w:lineRule="auto"/>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14,040,486 shares of common stock, (b) 4,420,725 shares of common stock issuable upon exercise of warrants within 60 days of March 1, 2022 and (c) 4,147,708 shares of common stock issuable upon exercise of options within 60 days of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5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2021, all Section 16(a) filing requirements applicable to its officers, directors and greater than ten percent beneficial owners were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5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2021 and 2020. Our named executive officers for 2021 include our principal executive officer and our two other most highly compensated executive officers:</w:t>
      </w:r>
    </w:p>
    <w:p>
      <w:pPr>
        <w:spacing w:after="0" w:line="75"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our President and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Kim, our Chief Financial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Mythili Koneru, our Chief Medical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6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2021 and 2020, respectively.</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7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8"/>
                <w:szCs w:val="18"/>
                <w:color w:val="auto"/>
              </w:rPr>
            </w:pPr>
          </w:p>
        </w:tc>
        <w:tc>
          <w:tcPr>
            <w:tcW w:w="6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Compensation ($)</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2860" w:type="dxa"/>
            <w:vAlign w:val="bottom"/>
            <w:tcBorders>
              <w:top w:val="single" w:sz="8" w:color="auto"/>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DFF"/>
            </w:tcBorders>
            <w:shd w:val="clear" w:color="auto" w:fill="CCEDFF"/>
          </w:tcPr>
          <w:p>
            <w:pPr>
              <w:spacing w:after="0"/>
              <w:rPr>
                <w:sz w:val="24"/>
                <w:szCs w:val="24"/>
                <w:color w:val="auto"/>
              </w:rPr>
            </w:pPr>
          </w:p>
        </w:tc>
        <w:tc>
          <w:tcPr>
            <w:tcW w:w="180" w:type="dxa"/>
            <w:vAlign w:val="bottom"/>
            <w:tcBorders>
              <w:top w:val="single" w:sz="8" w:color="auto"/>
            </w:tcBorders>
            <w:shd w:val="clear" w:color="auto" w:fill="CCEDFF"/>
          </w:tcPr>
          <w:p>
            <w:pPr>
              <w:spacing w:after="0"/>
              <w:rPr>
                <w:sz w:val="24"/>
                <w:szCs w:val="24"/>
                <w:color w:val="auto"/>
              </w:rPr>
            </w:pPr>
          </w:p>
        </w:tc>
        <w:tc>
          <w:tcPr>
            <w:tcW w:w="200" w:type="dxa"/>
            <w:vAlign w:val="bottom"/>
            <w:tcBorders>
              <w:top w:val="single" w:sz="8" w:color="auto"/>
            </w:tcBorders>
            <w:shd w:val="clear" w:color="auto" w:fill="CCEDFF"/>
          </w:tcPr>
          <w:p>
            <w:pPr>
              <w:spacing w:after="0"/>
              <w:rPr>
                <w:sz w:val="24"/>
                <w:szCs w:val="24"/>
                <w:color w:val="auto"/>
              </w:rPr>
            </w:pPr>
          </w:p>
        </w:tc>
        <w:tc>
          <w:tcPr>
            <w:tcW w:w="220" w:type="dxa"/>
            <w:vAlign w:val="bottom"/>
            <w:tcBorders>
              <w:top w:val="single" w:sz="8" w:color="CCEDFF"/>
            </w:tcBorders>
            <w:shd w:val="clear" w:color="auto" w:fill="CCEDFF"/>
          </w:tcPr>
          <w:p>
            <w:pPr>
              <w:spacing w:after="0"/>
              <w:rPr>
                <w:sz w:val="24"/>
                <w:szCs w:val="24"/>
                <w:color w:val="auto"/>
              </w:rPr>
            </w:pPr>
          </w:p>
        </w:tc>
        <w:tc>
          <w:tcPr>
            <w:tcW w:w="620" w:type="dxa"/>
            <w:vAlign w:val="bottom"/>
            <w:tcBorders>
              <w:top w:val="single" w:sz="8" w:color="auto"/>
            </w:tcBorders>
            <w:shd w:val="clear" w:color="auto" w:fill="CCEDFF"/>
          </w:tcPr>
          <w:p>
            <w:pPr>
              <w:spacing w:after="0"/>
              <w:rPr>
                <w:sz w:val="24"/>
                <w:szCs w:val="24"/>
                <w:color w:val="auto"/>
              </w:rPr>
            </w:pPr>
          </w:p>
        </w:tc>
        <w:tc>
          <w:tcPr>
            <w:tcW w:w="200" w:type="dxa"/>
            <w:vAlign w:val="bottom"/>
            <w:tcBorders>
              <w:top w:val="single" w:sz="8" w:color="CCEDFF"/>
            </w:tcBorders>
            <w:shd w:val="clear" w:color="auto" w:fill="CCEDFF"/>
          </w:tcPr>
          <w:p>
            <w:pPr>
              <w:spacing w:after="0"/>
              <w:rPr>
                <w:sz w:val="24"/>
                <w:szCs w:val="24"/>
                <w:color w:val="auto"/>
              </w:rPr>
            </w:pPr>
          </w:p>
        </w:tc>
        <w:tc>
          <w:tcPr>
            <w:tcW w:w="740" w:type="dxa"/>
            <w:vAlign w:val="bottom"/>
            <w:tcBorders>
              <w:top w:val="single" w:sz="8" w:color="auto"/>
            </w:tcBorders>
            <w:shd w:val="clear" w:color="auto" w:fill="CCEDFF"/>
          </w:tcPr>
          <w:p>
            <w:pPr>
              <w:spacing w:after="0"/>
              <w:rPr>
                <w:sz w:val="24"/>
                <w:szCs w:val="24"/>
                <w:color w:val="auto"/>
              </w:rPr>
            </w:pPr>
          </w:p>
        </w:tc>
        <w:tc>
          <w:tcPr>
            <w:tcW w:w="220" w:type="dxa"/>
            <w:vAlign w:val="bottom"/>
            <w:tcBorders>
              <w:top w:val="single" w:sz="8" w:color="CCEDFF"/>
            </w:tcBorders>
            <w:shd w:val="clear" w:color="auto" w:fill="CCEDFF"/>
          </w:tcPr>
          <w:p>
            <w:pPr>
              <w:spacing w:after="0"/>
              <w:rPr>
                <w:sz w:val="24"/>
                <w:szCs w:val="24"/>
                <w:color w:val="auto"/>
              </w:rPr>
            </w:pPr>
          </w:p>
        </w:tc>
        <w:tc>
          <w:tcPr>
            <w:tcW w:w="1080" w:type="dxa"/>
            <w:vAlign w:val="bottom"/>
            <w:tcBorders>
              <w:top w:val="single" w:sz="8" w:color="auto"/>
            </w:tcBorders>
            <w:shd w:val="clear" w:color="auto" w:fill="CCEDFF"/>
          </w:tcPr>
          <w:p>
            <w:pPr>
              <w:spacing w:after="0"/>
              <w:rPr>
                <w:sz w:val="24"/>
                <w:szCs w:val="24"/>
                <w:color w:val="auto"/>
              </w:rPr>
            </w:pPr>
          </w:p>
        </w:tc>
        <w:tc>
          <w:tcPr>
            <w:tcW w:w="220" w:type="dxa"/>
            <w:vAlign w:val="bottom"/>
            <w:tcBorders>
              <w:top w:val="single" w:sz="8" w:color="CCEDFF"/>
            </w:tcBorders>
            <w:shd w:val="clear" w:color="auto" w:fill="CCEDFF"/>
          </w:tcPr>
          <w:p>
            <w:pPr>
              <w:spacing w:after="0"/>
              <w:rPr>
                <w:sz w:val="24"/>
                <w:szCs w:val="24"/>
                <w:color w:val="auto"/>
              </w:rPr>
            </w:pPr>
          </w:p>
        </w:tc>
        <w:tc>
          <w:tcPr>
            <w:tcW w:w="740" w:type="dxa"/>
            <w:vAlign w:val="bottom"/>
            <w:tcBorders>
              <w:top w:val="single" w:sz="8" w:color="auto"/>
            </w:tcBorders>
            <w:shd w:val="clear" w:color="auto" w:fill="CCEDFF"/>
          </w:tcPr>
          <w:p>
            <w:pPr>
              <w:spacing w:after="0"/>
              <w:rPr>
                <w:sz w:val="24"/>
                <w:szCs w:val="24"/>
                <w:color w:val="auto"/>
              </w:rPr>
            </w:pPr>
          </w:p>
        </w:tc>
      </w:tr>
      <w:tr>
        <w:trPr>
          <w:trHeight w:val="257"/>
        </w:trPr>
        <w:tc>
          <w:tcPr>
            <w:tcW w:w="286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424,089</w:t>
            </w: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1,001,900</w:t>
            </w: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ind w:left="260"/>
              <w:spacing w:after="0" w:line="256" w:lineRule="exact"/>
              <w:rPr>
                <w:sz w:val="20"/>
                <w:szCs w:val="20"/>
                <w:color w:val="auto"/>
              </w:rPr>
            </w:pPr>
            <w:r>
              <w:rPr>
                <w:rFonts w:ascii="Times New Roman" w:cs="Times New Roman" w:eastAsia="Times New Roman" w:hAnsi="Times New Roman"/>
                <w:sz w:val="18"/>
                <w:szCs w:val="18"/>
                <w:color w:val="auto"/>
              </w:rPr>
              <w:t>193,043</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1,619,032</w:t>
            </w:r>
          </w:p>
        </w:tc>
      </w:tr>
      <w:tr>
        <w:trPr>
          <w:trHeight w:val="257"/>
        </w:trPr>
        <w:tc>
          <w:tcPr>
            <w:tcW w:w="360" w:type="dxa"/>
            <w:vAlign w:val="bottom"/>
            <w:shd w:val="clear" w:color="auto" w:fill="CCEDFF"/>
          </w:tcPr>
          <w:p>
            <w:pPr>
              <w:spacing w:after="0"/>
              <w:rPr>
                <w:sz w:val="22"/>
                <w:szCs w:val="22"/>
                <w:color w:val="auto"/>
              </w:rPr>
            </w:pPr>
          </w:p>
        </w:tc>
        <w:tc>
          <w:tcPr>
            <w:tcW w:w="2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416,882</w:t>
            </w: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748,200</w:t>
            </w: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209,000</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1,374,082</w:t>
            </w:r>
          </w:p>
        </w:tc>
      </w:tr>
      <w:tr>
        <w:trPr>
          <w:trHeight w:val="25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19"/>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400,754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401,600</w:t>
            </w:r>
          </w:p>
        </w:tc>
        <w:tc>
          <w:tcPr>
            <w:tcW w:w="22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145,937</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948,291</w:t>
            </w:r>
          </w:p>
        </w:tc>
      </w:tr>
      <w:tr>
        <w:trPr>
          <w:trHeight w:val="241"/>
        </w:trPr>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392,906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278,400</w:t>
            </w:r>
          </w:p>
        </w:tc>
        <w:tc>
          <w:tcPr>
            <w:tcW w:w="22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158,000</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829,306</w:t>
            </w:r>
          </w:p>
        </w:tc>
      </w:tr>
      <w:tr>
        <w:trPr>
          <w:trHeight w:val="263"/>
        </w:trPr>
        <w:tc>
          <w:tcPr>
            <w:tcW w:w="28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200" w:type="dxa"/>
            <w:vAlign w:val="bottom"/>
            <w:shd w:val="clear" w:color="auto" w:fill="CCEDFF"/>
          </w:tcPr>
          <w:p>
            <w:pPr>
              <w:spacing w:after="0"/>
              <w:rPr>
                <w:sz w:val="22"/>
                <w:szCs w:val="22"/>
                <w:color w:val="auto"/>
              </w:rPr>
            </w:pPr>
          </w:p>
        </w:tc>
        <w:tc>
          <w:tcPr>
            <w:tcW w:w="18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spacing w:after="0"/>
              <w:rPr>
                <w:sz w:val="22"/>
                <w:szCs w:val="22"/>
                <w:color w:val="auto"/>
              </w:rPr>
            </w:pPr>
          </w:p>
        </w:tc>
      </w:tr>
      <w:tr>
        <w:trPr>
          <w:trHeight w:val="257"/>
        </w:trPr>
        <w:tc>
          <w:tcPr>
            <w:tcW w:w="286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DFF"/>
          </w:tcPr>
          <w:p>
            <w:pPr>
              <w:spacing w:after="0"/>
              <w:rPr>
                <w:sz w:val="22"/>
                <w:szCs w:val="22"/>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405,827</w:t>
            </w: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351,400</w:t>
            </w:r>
          </w:p>
        </w:tc>
        <w:tc>
          <w:tcPr>
            <w:tcW w:w="220" w:type="dxa"/>
            <w:vAlign w:val="bottom"/>
            <w:shd w:val="clear" w:color="auto" w:fill="CCEDFF"/>
          </w:tcPr>
          <w:p>
            <w:pPr>
              <w:spacing w:after="0"/>
              <w:rPr>
                <w:sz w:val="22"/>
                <w:szCs w:val="22"/>
                <w:color w:val="auto"/>
              </w:rPr>
            </w:pPr>
          </w:p>
        </w:tc>
        <w:tc>
          <w:tcPr>
            <w:tcW w:w="1080" w:type="dxa"/>
            <w:vAlign w:val="bottom"/>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144,311</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901,538</w:t>
            </w:r>
          </w:p>
        </w:tc>
      </w:tr>
      <w:tr>
        <w:trPr>
          <w:trHeight w:val="270"/>
        </w:trPr>
        <w:tc>
          <w:tcPr>
            <w:tcW w:w="360" w:type="dxa"/>
            <w:vAlign w:val="bottom"/>
            <w:shd w:val="clear" w:color="auto" w:fill="CCEDFF"/>
          </w:tcPr>
          <w:p>
            <w:pPr>
              <w:spacing w:after="0"/>
              <w:rPr>
                <w:sz w:val="23"/>
                <w:szCs w:val="23"/>
                <w:color w:val="auto"/>
              </w:rPr>
            </w:pPr>
          </w:p>
        </w:tc>
        <w:tc>
          <w:tcPr>
            <w:tcW w:w="2500" w:type="dxa"/>
            <w:vAlign w:val="bottom"/>
            <w:shd w:val="clear" w:color="auto" w:fill="CCEDFF"/>
          </w:tcPr>
          <w:p>
            <w:pPr>
              <w:spacing w:after="0"/>
              <w:rPr>
                <w:sz w:val="23"/>
                <w:szCs w:val="23"/>
                <w:color w:val="auto"/>
              </w:rPr>
            </w:pPr>
          </w:p>
        </w:tc>
        <w:tc>
          <w:tcPr>
            <w:tcW w:w="580" w:type="dxa"/>
            <w:vAlign w:val="bottom"/>
            <w:gridSpan w:val="3"/>
            <w:shd w:val="clear" w:color="auto" w:fill="CCED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DFF"/>
          </w:tcPr>
          <w:p>
            <w:pPr>
              <w:spacing w:after="0"/>
              <w:rPr>
                <w:sz w:val="23"/>
                <w:szCs w:val="23"/>
                <w:color w:val="auto"/>
              </w:rPr>
            </w:pPr>
          </w:p>
        </w:tc>
        <w:tc>
          <w:tcPr>
            <w:tcW w:w="6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398,600</w:t>
            </w:r>
          </w:p>
        </w:tc>
        <w:tc>
          <w:tcPr>
            <w:tcW w:w="200" w:type="dxa"/>
            <w:vAlign w:val="bottom"/>
            <w:shd w:val="clear" w:color="auto" w:fill="CCEDFF"/>
          </w:tcPr>
          <w:p>
            <w:pPr>
              <w:spacing w:after="0"/>
              <w:rPr>
                <w:sz w:val="23"/>
                <w:szCs w:val="23"/>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243,600</w:t>
            </w:r>
          </w:p>
        </w:tc>
        <w:tc>
          <w:tcPr>
            <w:tcW w:w="220" w:type="dxa"/>
            <w:vAlign w:val="bottom"/>
            <w:shd w:val="clear" w:color="auto" w:fill="CCEDFF"/>
          </w:tcPr>
          <w:p>
            <w:pPr>
              <w:spacing w:after="0"/>
              <w:rPr>
                <w:sz w:val="23"/>
                <w:szCs w:val="23"/>
                <w:color w:val="auto"/>
              </w:rPr>
            </w:pPr>
          </w:p>
        </w:tc>
        <w:tc>
          <w:tcPr>
            <w:tcW w:w="1080" w:type="dxa"/>
            <w:vAlign w:val="bottom"/>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shd w:val="clear" w:color="auto" w:fill="CCEDFF"/>
          </w:tcPr>
          <w:p>
            <w:pPr>
              <w:spacing w:after="0"/>
              <w:rPr>
                <w:sz w:val="23"/>
                <w:szCs w:val="23"/>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782,200</w:t>
            </w:r>
          </w:p>
        </w:tc>
      </w:tr>
      <w:tr>
        <w:trPr>
          <w:trHeight w:val="67"/>
        </w:trPr>
        <w:tc>
          <w:tcPr>
            <w:tcW w:w="360" w:type="dxa"/>
            <w:vAlign w:val="bottom"/>
            <w:shd w:val="clear" w:color="auto" w:fill="CCEDFF"/>
          </w:tcPr>
          <w:p>
            <w:pPr>
              <w:spacing w:after="0"/>
              <w:rPr>
                <w:sz w:val="5"/>
                <w:szCs w:val="5"/>
                <w:color w:val="auto"/>
              </w:rPr>
            </w:pPr>
          </w:p>
        </w:tc>
        <w:tc>
          <w:tcPr>
            <w:tcW w:w="250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1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62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108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740" w:type="dxa"/>
            <w:vAlign w:val="bottom"/>
            <w:shd w:val="clear" w:color="auto" w:fill="CCEDFF"/>
          </w:tcPr>
          <w:p>
            <w:pPr>
              <w:spacing w:after="0"/>
              <w:rPr>
                <w:sz w:val="5"/>
                <w:szCs w:val="5"/>
                <w:color w:val="auto"/>
              </w:rPr>
            </w:pPr>
          </w:p>
        </w:tc>
      </w:tr>
      <w:tr>
        <w:trPr>
          <w:trHeight w:val="230"/>
        </w:trPr>
        <w:tc>
          <w:tcPr>
            <w:tcW w:w="360" w:type="dxa"/>
            <w:vAlign w:val="bottom"/>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-1731010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-1731010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-1731010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-1731010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-1731010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2340" w:right="419" w:hanging="360"/>
        <w:spacing w:after="0" w:line="253" w:lineRule="auto"/>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2021, as computed in accordance with Financial Accounting Standard Board Accounting Standards Codification Topic 718 for stock-based compensation transactions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43"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Hoang did not earn compensation during 2020 or 2021 for his service on the Board.</w:t>
      </w:r>
    </w:p>
    <w:p>
      <w:pPr>
        <w:spacing w:after="0" w:line="90" w:lineRule="exact"/>
        <w:rPr>
          <w:rFonts w:ascii="Times New Roman" w:cs="Times New Roman" w:eastAsia="Times New Roman" w:hAnsi="Times New Roman"/>
          <w:sz w:val="18"/>
          <w:szCs w:val="18"/>
          <w:color w:val="auto"/>
        </w:rPr>
      </w:pPr>
    </w:p>
    <w:p>
      <w:pPr>
        <w:jc w:val="both"/>
        <w:ind w:left="2340" w:right="419" w:hanging="360"/>
        <w:spacing w:after="0" w:line="256" w:lineRule="auto"/>
        <w:tabs>
          <w:tab w:leader="none" w:pos="2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Messrs. Hoang and Kim, the Board determined to pay half of the 2021 annual incentives in the form of fully vested restricted stock units, as described below in “– Narrative to Summary Compensation Table – Executive Compensation Program – Annual Incentive Compensation.” Pursuant to SEC rules, the amount of the annual incentives awarded to each named executive officer has been reported in the Summary Compensation Table under the “Non-Equity Incentive Plan Compensation” column for fiscal year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5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0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286" w:lineRule="exact"/>
        <w:rPr>
          <w:sz w:val="20"/>
          <w:szCs w:val="20"/>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9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As part of its engagement,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the Compensation Committee approved the recommendations.</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29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2021 and 2020, as determined by the Board or Compensation Committee, as applicable:</w:t>
      </w:r>
    </w:p>
    <w:p>
      <w:pPr>
        <w:spacing w:after="0" w:line="129"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2021 Annual</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Annual</w:t>
            </w: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424,270</w:t>
            </w:r>
          </w:p>
        </w:tc>
        <w:tc>
          <w:tcPr>
            <w:tcW w:w="220" w:type="dxa"/>
            <w:vAlign w:val="bottom"/>
            <w:shd w:val="clear" w:color="auto" w:fill="CCEDFF"/>
          </w:tcPr>
          <w:p>
            <w:pPr>
              <w:spacing w:after="0"/>
              <w:rPr>
                <w:sz w:val="21"/>
                <w:szCs w:val="21"/>
                <w:color w:val="auto"/>
              </w:rPr>
            </w:pP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418,000</w:t>
            </w:r>
          </w:p>
        </w:tc>
      </w:tr>
      <w:tr>
        <w:trPr>
          <w:trHeight w:val="27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400,925</w:t>
            </w:r>
          </w:p>
        </w:tc>
        <w:tc>
          <w:tcPr>
            <w:tcW w:w="2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r>
      <w:tr>
        <w:trPr>
          <w:trHeight w:val="270"/>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406,000</w:t>
            </w:r>
          </w:p>
        </w:tc>
        <w:tc>
          <w:tcPr>
            <w:tcW w:w="220" w:type="dxa"/>
            <w:vAlign w:val="bottom"/>
            <w:shd w:val="clear" w:color="auto" w:fill="CCEDFF"/>
          </w:tcPr>
          <w:p>
            <w:pPr>
              <w:spacing w:after="0"/>
              <w:rPr>
                <w:sz w:val="23"/>
                <w:szCs w:val="23"/>
                <w:color w:val="auto"/>
              </w:rPr>
            </w:pPr>
          </w:p>
        </w:tc>
        <w:tc>
          <w:tcPr>
            <w:tcW w:w="13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r>
      <w:tr>
        <w:trPr>
          <w:trHeight w:val="54"/>
        </w:trPr>
        <w:tc>
          <w:tcPr>
            <w:tcW w:w="276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c>
          <w:tcPr>
            <w:tcW w:w="220" w:type="dxa"/>
            <w:vAlign w:val="bottom"/>
            <w:shd w:val="clear" w:color="auto" w:fill="CCEDFF"/>
          </w:tcPr>
          <w:p>
            <w:pPr>
              <w:spacing w:after="0"/>
              <w:rPr>
                <w:sz w:val="4"/>
                <w:szCs w:val="4"/>
                <w:color w:val="auto"/>
              </w:rPr>
            </w:pPr>
          </w:p>
        </w:tc>
        <w:tc>
          <w:tcPr>
            <w:tcW w:w="1320" w:type="dxa"/>
            <w:vAlign w:val="bottom"/>
            <w:shd w:val="clear" w:color="auto" w:fill="CCED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-548005</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-548005</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2021 and 2020, the target annual incentive opportunities as a percentage of base salary for our named executive officers were 50% for Mr. Hoang, 40% for Mr. Kim and 35% for Dr. Koneru. The amounts of any annual incentives earned are determined after the end of the year, based on the achievement of the designated corporate and individual performance objectives, and may be paid in cash or equity-based awards.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 2021 and 2020,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March 2022 and March 2021 based on each executive’s and our corporate performance in 2021 and 2020, respectively. The Board determined that our percentage attainment of our corporate goals for 2021 was 91% and for 2020 was 100% and approved individual performance payouts for each named executive officer for each such year. The annual incentives paid to the named executive officers for 2021 performance are included in the “Non-Equity Incentive Plan Compensation” column of the Summary Compensation Table above.</w:t>
      </w:r>
    </w:p>
    <w:p>
      <w:pPr>
        <w:spacing w:after="0" w:line="32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2021, the Board determined to pay half of these awards for Messrs. Hoang and Kim in 50% in the form of fully vested restricted stock units and all of this award in cash for Dr. Koneru. Such restricted stock units were granted under our 2020 Equity Incentive Plan and are set forth in the table below. Each restricted stock unit was fully vested upon grant.</w:t>
      </w:r>
    </w:p>
    <w:p>
      <w:pPr>
        <w:spacing w:after="0" w:line="146"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Units Grant</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Lieu of 50%</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15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1520" w:type="dxa"/>
            <w:vAlign w:val="bottom"/>
          </w:tcPr>
          <w:p>
            <w:pPr>
              <w:spacing w:after="0"/>
              <w:rPr>
                <w:sz w:val="14"/>
                <w:szCs w:val="14"/>
                <w:color w:val="auto"/>
              </w:rPr>
            </w:pPr>
          </w:p>
        </w:tc>
      </w:tr>
      <w:tr>
        <w:trPr>
          <w:trHeight w:val="149"/>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r>
      <w:tr>
        <w:trPr>
          <w:trHeight w:val="227"/>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Borders>
              <w:bottom w:val="single" w:sz="8" w:color="CCED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 ($)</w:t>
            </w:r>
            <w:r>
              <w:rPr>
                <w:rFonts w:ascii="Times New Roman" w:cs="Times New Roman" w:eastAsia="Times New Roman" w:hAnsi="Times New Roman"/>
                <w:sz w:val="17"/>
                <w:szCs w:val="17"/>
                <w:b w:val="1"/>
                <w:bCs w:val="1"/>
                <w:color w:val="auto"/>
                <w:w w:val="93"/>
                <w:vertAlign w:val="superscript"/>
              </w:rPr>
              <w:t>(1)</w:t>
            </w:r>
          </w:p>
        </w:tc>
      </w:tr>
      <w:tr>
        <w:trPr>
          <w:trHeight w:val="250"/>
        </w:trPr>
        <w:tc>
          <w:tcPr>
            <w:tcW w:w="25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L. Hoang</w:t>
            </w:r>
          </w:p>
        </w:tc>
        <w:tc>
          <w:tcPr>
            <w:tcW w:w="1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199,094</w:t>
            </w:r>
          </w:p>
        </w:tc>
        <w:tc>
          <w:tcPr>
            <w:tcW w:w="220" w:type="dxa"/>
            <w:vAlign w:val="bottom"/>
            <w:shd w:val="clear" w:color="auto" w:fill="CCEDFF"/>
          </w:tcPr>
          <w:p>
            <w:pPr>
              <w:spacing w:after="0"/>
              <w:rPr>
                <w:sz w:val="21"/>
                <w:szCs w:val="21"/>
                <w:color w:val="auto"/>
              </w:rPr>
            </w:pPr>
          </w:p>
        </w:tc>
        <w:tc>
          <w:tcPr>
            <w:tcW w:w="15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6"/>
              </w:rPr>
              <w:t>96,521</w:t>
            </w:r>
          </w:p>
        </w:tc>
      </w:tr>
      <w:tr>
        <w:trPr>
          <w:trHeight w:val="257"/>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150,512</w:t>
            </w:r>
          </w:p>
        </w:tc>
        <w:tc>
          <w:tcPr>
            <w:tcW w:w="22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72,968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-334010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-334010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145415</wp:posOffset>
            </wp:positionV>
            <wp:extent cx="1834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7" w:lineRule="exact"/>
        <w:rPr>
          <w:sz w:val="20"/>
          <w:szCs w:val="20"/>
          <w:color w:val="auto"/>
        </w:rPr>
      </w:pPr>
    </w:p>
    <w:p>
      <w:pPr>
        <w:jc w:val="both"/>
        <w:ind w:left="2340" w:right="419" w:hanging="360"/>
        <w:spacing w:after="0" w:line="261" w:lineRule="auto"/>
        <w:tabs>
          <w:tab w:leader="none" w:pos="2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Hoang and Kim, the Board determined the number of shares subject to the restricted stock unit by dividing 50% of the amount of the cash bonus approved by the Board by the closing price of the Company’s common stock on the date of grant, which was March 24, 2022.</w:t>
      </w:r>
    </w:p>
    <w:p>
      <w:pPr>
        <w:spacing w:after="0" w:line="11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2021 performance are included in the “Non-Equity Incentive Plan Compensation” column of the Summary Compensation Table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4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Equity Incentive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7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2021.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2021.</w:t>
      </w:r>
    </w:p>
    <w:p>
      <w:pPr>
        <w:spacing w:after="0" w:line="400"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9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Peter Hoang</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Hoang in September 2017 and an amendment thereto in March 2019. The term of the agreement is for three years and will be automatically extended for an additional 12 months unless terminated by Mr. Hoang or us. Under the terms of his employment agreement, Mr. Hoang was eligible to receive a base salary of $362,500, which was subsequently increased by the Board to $380,000 by the March 2019 amendment, and an annual target incentive opportunity of up to 50% of his annual base salary based upon the assessment by the Board of Mr. Hoang’s performance and other conditions as the Board shall determine in its sole discretion on an annual basis. Pursuant his employment agreement, Mr. Hoang is subject to a covenant not to disclose our confidential information during his employment term and an assignment of intellectual property rights. Also, during his employment term and for a period of 12 months thereafter, Mr. Hoang covenants not to compete with us and not to solicit any of our customers, vendors or employees.</w:t>
      </w:r>
    </w:p>
    <w:p>
      <w:pPr>
        <w:spacing w:after="0" w:line="200" w:lineRule="exact"/>
        <w:rPr>
          <w:sz w:val="20"/>
          <w:szCs w:val="20"/>
          <w:color w:val="auto"/>
        </w:rPr>
      </w:pP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Mr. Hoang’s employment is terminated by us for cause or by Mr. Hoang without good reason (each, as defined in his employment agreement) during the term of the agreement, he will be entitled to received</w:t>
      </w:r>
    </w:p>
    <w:p>
      <w:pPr>
        <w:jc w:val="both"/>
        <w:ind w:left="1260" w:right="419"/>
        <w:spacing w:after="0" w:line="250" w:lineRule="auto"/>
        <w:tabs>
          <w:tab w:leader="none" w:pos="15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is terminated by us without cause or by Mr. Hoang for good reason, subject to Mr. Hoang’s execution of a release of claims against us, and in addition to the payment of the Accrued Compensation, Mr. Hoang is entitled to (i) a payment equal to 12 months of his annual base salary, as in effect at the termination date; (ii) any earned but unpaid bonus for the prior calendar year; and</w:t>
      </w:r>
    </w:p>
    <w:p>
      <w:pPr>
        <w:spacing w:after="0" w:line="3" w:lineRule="exact"/>
        <w:rPr>
          <w:rFonts w:ascii="Times New Roman" w:cs="Times New Roman" w:eastAsia="Times New Roman" w:hAnsi="Times New Roman"/>
          <w:sz w:val="18"/>
          <w:szCs w:val="18"/>
          <w:color w:val="auto"/>
        </w:rPr>
      </w:pPr>
    </w:p>
    <w:p>
      <w:pPr>
        <w:jc w:val="both"/>
        <w:ind w:left="1260" w:right="419"/>
        <w:spacing w:after="0" w:line="252" w:lineRule="auto"/>
        <w:tabs>
          <w:tab w:leader="none" w:pos="16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bonus payment equal to his target annual performance bonus for the calendar year in which his employment is terminated provided that, Mr. Hoang has served a minimum of six months during the calendar year in which his termination occurs (the “Hoang Additional Severance Payments”). Mr. Hoang will also be eligible for continued health insurance coverage for 12 months after the date of Mr. Hoang’s termination. Further, if we do not renew Mr. Hoang’s employment agreement at the end of the term, Mr. Hoang will be entitled to be paid 12 months of his annual base salary over a 12-month period.</w:t>
      </w:r>
    </w:p>
    <w:p>
      <w:pPr>
        <w:spacing w:after="0" w:line="12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Hoang’s employment is terminated by us without cause or by him for good reason during the period of six months following a change in control (as defined in his employment agreement), in lieu of the Hoang Additional Severance Payments and health insurance coverage described above, Mr. Hoang will be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will also receive in the same payment the amount of any performance bonus that, as of the date of termination, he had earned but had not yet been paid by us, and he will be entitled to the vesting of all of outstanding equity awards, such that all such equity awards will be fully vested as of the date of Mr. Hoang’s termination. Mr. Hoang will also be eligible for continued health insurance coverage for 18 months after the date of his termination.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Anthony Kim</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Kim in November 2018. Under the terms of his employment agreement, Mr. Kim was eligible to receive a base salary of $375,000 and an annual target incentive opportunity of 40% of his annual base salary based upon the assessment by the Compensation Committee of Mr. Kim’s performance and other conditions as the Board shall determine in its sole discretion on an annual basis. Pursuant to his employment agreement, Mr. Kim is subject to a covenant not to disclose our confidential information during his employment term and an assignment of intellectual property rights. Also, during his employment term and for a period of 12 months thereafter, Mr. Kim covenants not to compete with us and not to solicit any of our customers, vendors or employees.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Kim’s employment is terminated by us for cause or by Mr. Kim without good reason (each as defined in his employment agreement) during the term of the agreement, he will be entitled to received his Accrued Compensation. If Mr. Kim’s employment is terminated by us without cause or by Mr. Kim for good reason, subject to Mr. Kim’s execution of a release of claims against us, and in addition to the payment of the Accrued Compensation, Mr. Kim is entitled to (i) a payment equal to 12 months of his annual base salary as in effect at the termination date and (ii) a pro-rated bonus payment equal to his target annual performance bonus for the calendar year in which his employment is terminated (the “Kim Additional Severance Payments”). Mr. Kim will also be eligible for continued health insurance coverage until the earliest of</w:t>
      </w:r>
    </w:p>
    <w:p>
      <w:pPr>
        <w:spacing w:after="0" w:line="1" w:lineRule="exact"/>
        <w:rPr>
          <w:sz w:val="20"/>
          <w:szCs w:val="20"/>
          <w:color w:val="auto"/>
        </w:rPr>
      </w:pPr>
    </w:p>
    <w:p>
      <w:pPr>
        <w:jc w:val="both"/>
        <w:ind w:left="1260" w:right="419"/>
        <w:spacing w:after="0" w:line="260" w:lineRule="auto"/>
        <w:tabs>
          <w:tab w:leader="none" w:pos="14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after the date of Mr. Kim’s termination, (ii) the expiration of Mr. Kim’s eligibility for COBRA coverage and (iii) the date Mr. Kim becomes eligible for substantially equivalent health insurance coverage.</w:t>
      </w:r>
    </w:p>
    <w:p>
      <w:pPr>
        <w:spacing w:after="0" w:line="11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Mr. Kim’s employment is terminated by us without cause or by him for good reason during the period of 12 months following a change in control of us (as defined in his employment agreement), in lieu of the Kim Additional Severance Payments described above and subject to Mr. Kim’s execution of a release of claims, Mr. Kim will be entitled to (i) a payment equal to 12 months of his annual base salary as in effect at the termination date, (ii) a bonus payment equal to his target annual performance bonus for the year of termination and (iii) vesting of all of Mr. Kim’s outstanding equity awards subject to time-based vesting requirements, such that all such equity awards will be fully vested as of the date of Mr. Kim’s termination. Mr. Kim will also be eligible for continued health insurance coverage until the earliest of (i) 12 months after the date of Mr. Kim’s termination, (ii) the expiration of Mr. Kim’s eligibility for COBRA coverage and (iii) the date Mr. Kim becomes eligible for substantially equivalent health insurance coverage.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Mythili Koneru</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determine in its sole discretion on an annual basis. Pursuant to her employment agreement, Dr. Koneru is subject to a covenant not to disclose our confidential information during her employment term and an assignment of intellectual property rights. Also, during her employment term and for a period of 12 months thereafter, Dr. Koneru covenants not to compete with us and not to solicit any of our customers, vendors or employees.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Dr. Koneru employment is terminated by us for cause or by Dr. Koneru without good reason (each as defined in her employment agreement) during the term of the agreement, she will be entitled to received her Accrued Compensation. If Dr. Koneru’s employment is terminated by us without cause or by Dr. Koneru for good reason, subject to Dr. Koneru’s execution of a release of claims against us, and in addition to the payment of the Accrued Compensation, Dr. Koneru is entitled to (i) a payment equal to 12 months of her annual base salary as in effect at the termination date and (ii) a pro-rated bonus payment equal to her target annual performance bonus for the calendar year in which her employment is terminated (the “Koneru Additional Severance Payments”). Dr. Koneru will also be eligible for continued health insurance coverage until the earliest of (i) 12 months after the date of Dr. Koneru’s termination, (ii) the expiration of Dr. Koneru’s eligibility for COBRA coverage and (iii) the date Dr. Koneru becomes eligible for substantially equivalent health insurance coverage.</w:t>
      </w:r>
    </w:p>
    <w:p>
      <w:pPr>
        <w:spacing w:after="0" w:line="343"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Dr. Koneru’s employment is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 execution of a release of claims, Dr. Koneru will be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will be fully vested as of the date of Dr. Koneru’s termination.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31, 2021</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1"/>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98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9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r>
      <w:tr>
        <w:trPr>
          <w:trHeight w:val="227"/>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220" w:type="dxa"/>
            <w:vAlign w:val="bottom"/>
            <w:tcBorders>
              <w:bottom w:val="single" w:sz="8" w:color="CCED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Exercisable</w:t>
            </w:r>
          </w:p>
        </w:tc>
        <w:tc>
          <w:tcPr>
            <w:tcW w:w="120" w:type="dxa"/>
            <w:vAlign w:val="bottom"/>
            <w:tcBorders>
              <w:bottom w:val="single" w:sz="8" w:color="CCEDFF"/>
            </w:tcBorders>
          </w:tcPr>
          <w:p>
            <w:pPr>
              <w:spacing w:after="0"/>
              <w:rPr>
                <w:sz w:val="19"/>
                <w:szCs w:val="19"/>
                <w:color w:val="auto"/>
              </w:rPr>
            </w:pPr>
          </w:p>
        </w:tc>
        <w:tc>
          <w:tcPr>
            <w:tcW w:w="100" w:type="dxa"/>
            <w:vAlign w:val="bottom"/>
            <w:tcBorders>
              <w:bottom w:val="single" w:sz="8" w:color="CCED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Unexercisable</w:t>
            </w:r>
            <w:r>
              <w:rPr>
                <w:rFonts w:ascii="Times New Roman" w:cs="Times New Roman" w:eastAsia="Times New Roman" w:hAnsi="Times New Roman"/>
                <w:sz w:val="17"/>
                <w:szCs w:val="17"/>
                <w:b w:val="1"/>
                <w:bCs w:val="1"/>
                <w:color w:val="auto"/>
                <w:w w:val="95"/>
                <w:vertAlign w:val="superscript"/>
              </w:rPr>
              <w:t>(5)</w:t>
            </w:r>
          </w:p>
        </w:tc>
        <w:tc>
          <w:tcPr>
            <w:tcW w:w="200" w:type="dxa"/>
            <w:vAlign w:val="bottom"/>
            <w:tcBorders>
              <w:bottom w:val="single" w:sz="8" w:color="CCED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D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r>
      <w:tr>
        <w:trPr>
          <w:trHeight w:val="263"/>
        </w:trPr>
        <w:tc>
          <w:tcPr>
            <w:tcW w:w="2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L. Hoang</w:t>
            </w: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2/11/2021</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107,496</w:t>
            </w:r>
          </w:p>
        </w:tc>
        <w:tc>
          <w:tcPr>
            <w:tcW w:w="120" w:type="dxa"/>
            <w:vAlign w:val="bottom"/>
            <w:shd w:val="clear" w:color="auto" w:fill="CCEDFF"/>
          </w:tcPr>
          <w:p>
            <w:pPr>
              <w:spacing w:after="0"/>
              <w:rPr>
                <w:sz w:val="22"/>
                <w:szCs w:val="22"/>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322,504</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2"/>
                <w:szCs w:val="22"/>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DFF"/>
          </w:tcPr>
          <w:p>
            <w:pPr>
              <w:spacing w:after="0"/>
              <w:rPr>
                <w:sz w:val="22"/>
                <w:szCs w:val="22"/>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2/11/2031</w:t>
            </w:r>
          </w:p>
        </w:tc>
      </w:tr>
      <w:tr>
        <w:trPr>
          <w:trHeight w:val="270"/>
        </w:trPr>
        <w:tc>
          <w:tcPr>
            <w:tcW w:w="2600" w:type="dxa"/>
            <w:vAlign w:val="bottom"/>
            <w:shd w:val="clear" w:color="auto" w:fill="CCEDFF"/>
          </w:tcPr>
          <w:p>
            <w:pPr>
              <w:spacing w:after="0"/>
              <w:rPr>
                <w:sz w:val="23"/>
                <w:szCs w:val="23"/>
                <w:color w:val="auto"/>
              </w:rPr>
            </w:pP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3/10/2020</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206,034</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223,966</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70"/>
        </w:trPr>
        <w:tc>
          <w:tcPr>
            <w:tcW w:w="2600" w:type="dxa"/>
            <w:vAlign w:val="bottom"/>
            <w:shd w:val="clear" w:color="auto" w:fill="CCEDFF"/>
          </w:tcPr>
          <w:p>
            <w:pPr>
              <w:spacing w:after="0"/>
              <w:rPr>
                <w:sz w:val="23"/>
                <w:szCs w:val="23"/>
                <w:color w:val="auto"/>
              </w:rPr>
            </w:pP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10/18/2018</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1,104,906</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198,287</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10/19/2028</w:t>
            </w:r>
          </w:p>
        </w:tc>
      </w:tr>
      <w:tr>
        <w:trPr>
          <w:trHeight w:val="275"/>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Anthony Kim</w:t>
            </w: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2/10/2021</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39,996</w:t>
            </w:r>
          </w:p>
        </w:tc>
        <w:tc>
          <w:tcPr>
            <w:tcW w:w="120" w:type="dxa"/>
            <w:vAlign w:val="bottom"/>
          </w:tcPr>
          <w:p>
            <w:pPr>
              <w:spacing w:after="0"/>
              <w:rPr>
                <w:sz w:val="23"/>
                <w:szCs w:val="23"/>
                <w:color w:val="auto"/>
              </w:rPr>
            </w:pPr>
          </w:p>
        </w:tc>
        <w:tc>
          <w:tcPr>
            <w:tcW w:w="13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120,004</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2/10/2031</w:t>
            </w:r>
          </w:p>
        </w:tc>
      </w:tr>
      <w:tr>
        <w:trPr>
          <w:trHeight w:val="270"/>
        </w:trPr>
        <w:tc>
          <w:tcPr>
            <w:tcW w:w="2600" w:type="dxa"/>
            <w:vAlign w:val="bottom"/>
          </w:tcPr>
          <w:p>
            <w:pPr>
              <w:spacing w:after="0"/>
              <w:rPr>
                <w:sz w:val="23"/>
                <w:szCs w:val="23"/>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3/10/2020</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76,659</w:t>
            </w:r>
          </w:p>
        </w:tc>
        <w:tc>
          <w:tcPr>
            <w:tcW w:w="120" w:type="dxa"/>
            <w:vAlign w:val="bottom"/>
          </w:tcPr>
          <w:p>
            <w:pPr>
              <w:spacing w:after="0"/>
              <w:rPr>
                <w:sz w:val="23"/>
                <w:szCs w:val="23"/>
                <w:color w:val="auto"/>
              </w:rPr>
            </w:pPr>
          </w:p>
        </w:tc>
        <w:tc>
          <w:tcPr>
            <w:tcW w:w="13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83,341</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65"/>
        </w:trPr>
        <w:tc>
          <w:tcPr>
            <w:tcW w:w="2600" w:type="dxa"/>
            <w:vAlign w:val="bottom"/>
          </w:tcPr>
          <w:p>
            <w:pPr>
              <w:spacing w:after="0"/>
              <w:rPr>
                <w:sz w:val="23"/>
                <w:szCs w:val="23"/>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11/27/2018</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333,328</w:t>
            </w:r>
          </w:p>
        </w:tc>
        <w:tc>
          <w:tcPr>
            <w:tcW w:w="120" w:type="dxa"/>
            <w:vAlign w:val="bottom"/>
          </w:tcPr>
          <w:p>
            <w:pPr>
              <w:spacing w:after="0"/>
              <w:rPr>
                <w:sz w:val="23"/>
                <w:szCs w:val="23"/>
                <w:color w:val="auto"/>
              </w:rPr>
            </w:pPr>
          </w:p>
        </w:tc>
        <w:tc>
          <w:tcPr>
            <w:tcW w:w="13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66,672</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11/27/2028</w:t>
            </w:r>
          </w:p>
        </w:tc>
      </w:tr>
      <w:tr>
        <w:trPr>
          <w:trHeight w:val="270"/>
        </w:trPr>
        <w:tc>
          <w:tcPr>
            <w:tcW w:w="2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2/10/2021</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35,004</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104,996</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2/10/2031</w:t>
            </w:r>
          </w:p>
        </w:tc>
      </w:tr>
      <w:tr>
        <w:trPr>
          <w:trHeight w:val="270"/>
        </w:trPr>
        <w:tc>
          <w:tcPr>
            <w:tcW w:w="2600" w:type="dxa"/>
            <w:vAlign w:val="bottom"/>
            <w:shd w:val="clear" w:color="auto" w:fill="CCEDFF"/>
          </w:tcPr>
          <w:p>
            <w:pPr>
              <w:spacing w:after="0"/>
              <w:rPr>
                <w:sz w:val="23"/>
                <w:szCs w:val="23"/>
                <w:color w:val="auto"/>
              </w:rPr>
            </w:pPr>
          </w:p>
        </w:tc>
        <w:tc>
          <w:tcPr>
            <w:tcW w:w="1280" w:type="dxa"/>
            <w:vAlign w:val="bottom"/>
            <w:gridSpan w:val="4"/>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3/10/2020</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67,091</w:t>
            </w:r>
          </w:p>
        </w:tc>
        <w:tc>
          <w:tcPr>
            <w:tcW w:w="120" w:type="dxa"/>
            <w:vAlign w:val="bottom"/>
            <w:shd w:val="clear" w:color="auto" w:fill="CCEDFF"/>
          </w:tcPr>
          <w:p>
            <w:pPr>
              <w:spacing w:after="0"/>
              <w:rPr>
                <w:sz w:val="23"/>
                <w:szCs w:val="23"/>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72,909</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70"/>
        </w:trPr>
        <w:tc>
          <w:tcPr>
            <w:tcW w:w="2600" w:type="dxa"/>
            <w:vAlign w:val="bottom"/>
            <w:shd w:val="clear" w:color="auto" w:fill="CCEDFF"/>
          </w:tcPr>
          <w:p>
            <w:pPr>
              <w:spacing w:after="0"/>
              <w:rPr>
                <w:sz w:val="23"/>
                <w:szCs w:val="23"/>
                <w:color w:val="auto"/>
              </w:rPr>
            </w:pPr>
          </w:p>
        </w:tc>
        <w:tc>
          <w:tcPr>
            <w:tcW w:w="220" w:type="dxa"/>
            <w:vAlign w:val="bottom"/>
            <w:shd w:val="clear" w:color="auto" w:fill="CCEDFF"/>
          </w:tcPr>
          <w:p>
            <w:pPr>
              <w:spacing w:after="0"/>
              <w:rPr>
                <w:sz w:val="23"/>
                <w:szCs w:val="23"/>
                <w:color w:val="auto"/>
              </w:rPr>
            </w:pPr>
          </w:p>
        </w:tc>
        <w:tc>
          <w:tcPr>
            <w:tcW w:w="1060" w:type="dxa"/>
            <w:vAlign w:val="bottom"/>
            <w:gridSpan w:val="3"/>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2/7/2019</w:t>
            </w:r>
          </w:p>
        </w:tc>
        <w:tc>
          <w:tcPr>
            <w:tcW w:w="106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DFF"/>
          </w:tcPr>
          <w:p>
            <w:pPr>
              <w:spacing w:after="0"/>
              <w:rPr>
                <w:sz w:val="23"/>
                <w:szCs w:val="23"/>
                <w:color w:val="auto"/>
              </w:rPr>
            </w:pPr>
          </w:p>
        </w:tc>
        <w:tc>
          <w:tcPr>
            <w:tcW w:w="1420" w:type="dxa"/>
            <w:vAlign w:val="bottom"/>
            <w:gridSpan w:val="2"/>
            <w:shd w:val="clear" w:color="auto" w:fill="CCED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2/7/2029</w:t>
            </w:r>
          </w:p>
        </w:tc>
      </w:tr>
      <w:tr>
        <w:trPr>
          <w:trHeight w:val="324"/>
        </w:trPr>
        <w:tc>
          <w:tcPr>
            <w:tcW w:w="2600" w:type="dxa"/>
            <w:vAlign w:val="bottom"/>
            <w:shd w:val="clear" w:color="auto" w:fill="CCEDFF"/>
          </w:tcPr>
          <w:p>
            <w:pPr>
              <w:spacing w:after="0"/>
              <w:rPr>
                <w:sz w:val="24"/>
                <w:szCs w:val="24"/>
                <w:color w:val="auto"/>
              </w:rPr>
            </w:pPr>
          </w:p>
        </w:tc>
        <w:tc>
          <w:tcPr>
            <w:tcW w:w="220" w:type="dxa"/>
            <w:vAlign w:val="bottom"/>
            <w:shd w:val="clear" w:color="auto" w:fill="CCEDFF"/>
          </w:tcPr>
          <w:p>
            <w:pPr>
              <w:spacing w:after="0"/>
              <w:rPr>
                <w:sz w:val="24"/>
                <w:szCs w:val="24"/>
                <w:color w:val="auto"/>
              </w:rPr>
            </w:pPr>
          </w:p>
        </w:tc>
        <w:tc>
          <w:tcPr>
            <w:tcW w:w="1060" w:type="dxa"/>
            <w:vAlign w:val="bottom"/>
            <w:gridSpan w:val="3"/>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2/7/2019</w:t>
            </w:r>
          </w:p>
        </w:tc>
        <w:tc>
          <w:tcPr>
            <w:tcW w:w="940" w:type="dxa"/>
            <w:vAlign w:val="bottom"/>
            <w:shd w:val="clear" w:color="auto" w:fill="CCEDFF"/>
          </w:tcPr>
          <w:p>
            <w:pPr>
              <w:jc w:val="right"/>
              <w:ind w:right="17"/>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shd w:val="clear" w:color="auto" w:fill="CCEDFF"/>
          </w:tcPr>
          <w:p>
            <w:pPr>
              <w:spacing w:after="0"/>
              <w:rPr>
                <w:sz w:val="24"/>
                <w:szCs w:val="24"/>
                <w:color w:val="auto"/>
              </w:rPr>
            </w:pPr>
          </w:p>
        </w:tc>
        <w:tc>
          <w:tcPr>
            <w:tcW w:w="1320" w:type="dxa"/>
            <w:vAlign w:val="bottom"/>
            <w:gridSpan w:val="2"/>
            <w:shd w:val="clear" w:color="auto" w:fill="CCEDFF"/>
          </w:tcPr>
          <w:p>
            <w:pPr>
              <w:jc w:val="right"/>
              <w:ind w:right="105"/>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DFF"/>
          </w:tcPr>
          <w:p>
            <w:pPr>
              <w:spacing w:after="0"/>
              <w:rPr>
                <w:sz w:val="24"/>
                <w:szCs w:val="24"/>
                <w:color w:val="auto"/>
              </w:rPr>
            </w:pPr>
          </w:p>
        </w:tc>
        <w:tc>
          <w:tcPr>
            <w:tcW w:w="5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DFF"/>
          </w:tcPr>
          <w:p>
            <w:pPr>
              <w:spacing w:after="0"/>
              <w:rPr>
                <w:sz w:val="24"/>
                <w:szCs w:val="24"/>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2/7/2029</w:t>
            </w:r>
          </w:p>
        </w:tc>
      </w:tr>
      <w:tr>
        <w:trPr>
          <w:trHeight w:val="229"/>
        </w:trPr>
        <w:tc>
          <w:tcPr>
            <w:tcW w:w="2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-1910715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-1910715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-1910715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-1910715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-1910715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jc w:val="both"/>
        <w:ind w:left="1620" w:right="419" w:hanging="360"/>
        <w:spacing w:after="0" w:line="266"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Equity Incentive Plan.</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41"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5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were fully vested upon the date of grant.</w:t>
      </w:r>
    </w:p>
    <w:p>
      <w:pPr>
        <w:spacing w:after="0" w:line="9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2021 certain information with respect to the compensation of our non-employee directors: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2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6"/>
              </w:rPr>
              <w:t>Fees Earned or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6"/>
              </w:rPr>
              <w:t>Paid in Cash</w:t>
            </w:r>
          </w:p>
        </w:tc>
        <w:tc>
          <w:tcPr>
            <w:tcW w:w="1380" w:type="dxa"/>
            <w:vAlign w:val="bottom"/>
            <w:gridSpan w:val="3"/>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Stock Awards</w:t>
            </w:r>
          </w:p>
        </w:tc>
        <w:tc>
          <w:tcPr>
            <w:tcW w:w="12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Option Awards</w:t>
            </w:r>
          </w:p>
        </w:tc>
        <w:tc>
          <w:tcPr>
            <w:tcW w:w="540" w:type="dxa"/>
            <w:vAlign w:val="bottom"/>
          </w:tcPr>
          <w:p>
            <w:pPr>
              <w:jc w:val="right"/>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3000" w:type="dxa"/>
            <w:vAlign w:val="bottom"/>
            <w:tcBorders>
              <w:bottom w:val="single" w:sz="8" w:color="auto"/>
            </w:tcBorders>
          </w:tcPr>
          <w:p>
            <w:pPr>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Name</w:t>
            </w:r>
            <w:r>
              <w:rPr>
                <w:rFonts w:ascii="Times New Roman" w:cs="Times New Roman" w:eastAsia="Times New Roman" w:hAnsi="Times New Roman"/>
                <w:sz w:val="9"/>
                <w:szCs w:val="9"/>
                <w:b w:val="1"/>
                <w:bCs w:val="1"/>
                <w:color w:val="auto"/>
              </w:rPr>
              <w:t>(1)(2)</w:t>
            </w:r>
          </w:p>
        </w:tc>
        <w:tc>
          <w:tcPr>
            <w:tcW w:w="220" w:type="dxa"/>
            <w:vAlign w:val="bottom"/>
            <w:tcBorders>
              <w:bottom w:val="single" w:sz="8" w:color="CCED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Borders>
              <w:bottom w:val="single" w:sz="8" w:color="CCEDFF"/>
            </w:tcBorders>
          </w:tcPr>
          <w:p>
            <w:pPr>
              <w:spacing w:after="0"/>
              <w:rPr>
                <w:sz w:val="21"/>
                <w:szCs w:val="21"/>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(3)</w:t>
            </w:r>
          </w:p>
        </w:tc>
        <w:tc>
          <w:tcPr>
            <w:tcW w:w="220" w:type="dxa"/>
            <w:vAlign w:val="bottom"/>
            <w:tcBorders>
              <w:bottom w:val="single" w:sz="8" w:color="CCEDFF"/>
            </w:tcBorders>
          </w:tcPr>
          <w:p>
            <w:pPr>
              <w:spacing w:after="0"/>
              <w:rPr>
                <w:sz w:val="21"/>
                <w:szCs w:val="21"/>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(4)</w:t>
            </w:r>
          </w:p>
        </w:tc>
        <w:tc>
          <w:tcPr>
            <w:tcW w:w="220" w:type="dxa"/>
            <w:vAlign w:val="bottom"/>
            <w:tcBorders>
              <w:bottom w:val="single" w:sz="8" w:color="CCEDFF"/>
            </w:tcBorders>
          </w:tcPr>
          <w:p>
            <w:pPr>
              <w:spacing w:after="0"/>
              <w:rPr>
                <w:sz w:val="21"/>
                <w:szCs w:val="21"/>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30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David Eansor</w:t>
            </w:r>
          </w:p>
        </w:tc>
        <w:tc>
          <w:tcPr>
            <w:tcW w:w="1280" w:type="dxa"/>
            <w:vAlign w:val="bottom"/>
            <w:gridSpan w:val="2"/>
            <w:shd w:val="clear" w:color="auto" w:fill="CCEDFF"/>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shd w:val="clear" w:color="auto" w:fill="CCEDFF"/>
          </w:tcPr>
          <w:p>
            <w:pPr>
              <w:spacing w:after="0"/>
              <w:rPr>
                <w:sz w:val="20"/>
                <w:szCs w:val="20"/>
                <w:color w:val="auto"/>
              </w:rPr>
            </w:pPr>
          </w:p>
        </w:tc>
        <w:tc>
          <w:tcPr>
            <w:tcW w:w="1280" w:type="dxa"/>
            <w:vAlign w:val="bottom"/>
            <w:gridSpan w:val="2"/>
            <w:shd w:val="clear" w:color="auto" w:fill="CCED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4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Steven Elms</w:t>
            </w: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46"/>
        </w:trPr>
        <w:tc>
          <w:tcPr>
            <w:tcW w:w="30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Katharine Knobil</w:t>
            </w:r>
          </w:p>
        </w:tc>
        <w:tc>
          <w:tcPr>
            <w:tcW w:w="1280" w:type="dxa"/>
            <w:vAlign w:val="bottom"/>
            <w:gridSpan w:val="2"/>
            <w:shd w:val="clear" w:color="auto" w:fill="CCEDFF"/>
          </w:tcPr>
          <w:p>
            <w:pPr>
              <w:jc w:val="right"/>
              <w:ind w:right="119"/>
              <w:spacing w:after="0"/>
              <w:rPr>
                <w:sz w:val="20"/>
                <w:szCs w:val="20"/>
                <w:color w:val="auto"/>
              </w:rPr>
            </w:pPr>
            <w:r>
              <w:rPr>
                <w:rFonts w:ascii="Times New Roman" w:cs="Times New Roman" w:eastAsia="Times New Roman" w:hAnsi="Times New Roman"/>
                <w:sz w:val="16"/>
                <w:szCs w:val="16"/>
                <w:color w:val="auto"/>
              </w:rPr>
              <w:t>2,608</w:t>
            </w:r>
            <w:r>
              <w:rPr>
                <w:rFonts w:ascii="Times New Roman" w:cs="Times New Roman" w:eastAsia="Times New Roman" w:hAnsi="Times New Roman"/>
                <w:sz w:val="19"/>
                <w:szCs w:val="19"/>
                <w:color w:val="auto"/>
                <w:vertAlign w:val="superscript"/>
              </w:rPr>
              <w:t>(5)</w:t>
            </w:r>
          </w:p>
        </w:tc>
        <w:tc>
          <w:tcPr>
            <w:tcW w:w="200" w:type="dxa"/>
            <w:vAlign w:val="bottom"/>
            <w:shd w:val="clear" w:color="auto" w:fill="CCEDFF"/>
          </w:tcPr>
          <w:p>
            <w:pPr>
              <w:spacing w:after="0"/>
              <w:rPr>
                <w:sz w:val="21"/>
                <w:szCs w:val="21"/>
                <w:color w:val="auto"/>
              </w:rPr>
            </w:pPr>
          </w:p>
        </w:tc>
        <w:tc>
          <w:tcPr>
            <w:tcW w:w="1180" w:type="dxa"/>
            <w:vAlign w:val="bottom"/>
            <w:gridSpan w:val="2"/>
            <w:shd w:val="clear" w:color="auto" w:fill="CCED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103,750</w:t>
            </w:r>
          </w:p>
        </w:tc>
        <w:tc>
          <w:tcPr>
            <w:tcW w:w="220" w:type="dxa"/>
            <w:vAlign w:val="bottom"/>
            <w:shd w:val="clear" w:color="auto" w:fill="CCEDFF"/>
          </w:tcPr>
          <w:p>
            <w:pPr>
              <w:spacing w:after="0"/>
              <w:rPr>
                <w:sz w:val="21"/>
                <w:szCs w:val="21"/>
                <w:color w:val="auto"/>
              </w:rPr>
            </w:pP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w w:val="99"/>
              </w:rPr>
              <w:t>106,358</w:t>
            </w:r>
          </w:p>
        </w:tc>
      </w:tr>
      <w:tr>
        <w:trPr>
          <w:trHeight w:val="24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David Laskow-Pooley</w:t>
            </w: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46"/>
        </w:trPr>
        <w:tc>
          <w:tcPr>
            <w:tcW w:w="30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Frederick Wasserman</w:t>
            </w:r>
          </w:p>
        </w:tc>
        <w:tc>
          <w:tcPr>
            <w:tcW w:w="1280" w:type="dxa"/>
            <w:vAlign w:val="bottom"/>
            <w:gridSpan w:val="2"/>
            <w:shd w:val="clear" w:color="auto" w:fill="CCEDFF"/>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shd w:val="clear" w:color="auto" w:fill="CCEDFF"/>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shd w:val="clear" w:color="auto" w:fill="CCEDFF"/>
          </w:tcPr>
          <w:p>
            <w:pPr>
              <w:spacing w:after="0"/>
              <w:rPr>
                <w:sz w:val="21"/>
                <w:szCs w:val="21"/>
                <w:color w:val="auto"/>
              </w:rPr>
            </w:pPr>
          </w:p>
        </w:tc>
        <w:tc>
          <w:tcPr>
            <w:tcW w:w="1280" w:type="dxa"/>
            <w:vAlign w:val="bottom"/>
            <w:gridSpan w:val="2"/>
            <w:shd w:val="clear" w:color="auto" w:fill="CCED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79,999</w:t>
            </w:r>
          </w:p>
        </w:tc>
      </w:tr>
      <w:tr>
        <w:trPr>
          <w:trHeight w:val="251"/>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John Wilson</w:t>
            </w: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39,999</w:t>
            </w:r>
          </w:p>
        </w:tc>
        <w:tc>
          <w:tcPr>
            <w:tcW w:w="220" w:type="dxa"/>
            <w:vAlign w:val="bottom"/>
          </w:tcPr>
          <w:p>
            <w:pPr>
              <w:spacing w:after="0"/>
              <w:rPr>
                <w:sz w:val="21"/>
                <w:szCs w:val="21"/>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-938530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-938530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-938530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-938530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149225</wp:posOffset>
            </wp:positionV>
            <wp:extent cx="1834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32" w:lineRule="exact"/>
        <w:rPr>
          <w:sz w:val="20"/>
          <w:szCs w:val="20"/>
          <w:color w:val="auto"/>
        </w:rPr>
      </w:pPr>
    </w:p>
    <w:p>
      <w:pPr>
        <w:jc w:val="both"/>
        <w:ind w:left="2340" w:right="1139" w:hanging="360"/>
        <w:spacing w:after="0" w:line="266"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and Juan Vera did not earn compensation during 2021 for their service on the Board of Directors. As a named executive officer, Mr. Hoang’s compensation is fully reflected in the “Summary Compensation Table” above.</w:t>
      </w:r>
    </w:p>
    <w:p>
      <w:pPr>
        <w:spacing w:after="0" w:line="27" w:lineRule="exact"/>
        <w:rPr>
          <w:rFonts w:ascii="Times New Roman" w:cs="Times New Roman" w:eastAsia="Times New Roman" w:hAnsi="Times New Roman"/>
          <w:sz w:val="18"/>
          <w:szCs w:val="18"/>
          <w:color w:val="auto"/>
        </w:rPr>
      </w:pPr>
    </w:p>
    <w:p>
      <w:pPr>
        <w:jc w:val="both"/>
        <w:ind w:left="2340" w:right="1139" w:hanging="360"/>
        <w:spacing w:after="0" w:line="266"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Messrs. Eansor, Elms, Laskow-Pooley, Wasserman and Wilson each held options to purchase 12,500 shares of our common stock. Dr. Knobil held options to purchase 125,000 shares as of the same date.</w:t>
      </w:r>
    </w:p>
    <w:p>
      <w:pPr>
        <w:spacing w:after="0" w:line="13" w:lineRule="exact"/>
        <w:rPr>
          <w:rFonts w:ascii="Times New Roman" w:cs="Times New Roman" w:eastAsia="Times New Roman" w:hAnsi="Times New Roman"/>
          <w:sz w:val="18"/>
          <w:szCs w:val="18"/>
          <w:color w:val="auto"/>
        </w:rPr>
      </w:pPr>
    </w:p>
    <w:p>
      <w:pPr>
        <w:jc w:val="both"/>
        <w:ind w:left="2340" w:right="1139" w:hanging="360"/>
        <w:spacing w:after="0" w:line="258"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12,658 shares of our common stock awarded to the non-employee director for his service on the Board of Directors, as computed in accordance with FASB ASC 718. Assumptions used in the calculation of these amounts are included in Note 11 to our audited financial statements included in our Annual Report on Form 10-K.</w:t>
      </w:r>
    </w:p>
    <w:p>
      <w:pPr>
        <w:spacing w:after="0" w:line="21" w:lineRule="exact"/>
        <w:rPr>
          <w:rFonts w:ascii="Times New Roman" w:cs="Times New Roman" w:eastAsia="Times New Roman" w:hAnsi="Times New Roman"/>
          <w:sz w:val="18"/>
          <w:szCs w:val="18"/>
          <w:color w:val="auto"/>
        </w:rPr>
      </w:pPr>
    </w:p>
    <w:p>
      <w:pPr>
        <w:jc w:val="both"/>
        <w:ind w:left="2340" w:right="1139" w:hanging="360"/>
        <w:spacing w:after="0" w:line="258"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125,000 shares of our common stock awarded to the non-employee director for his service on the Board of Directors, as computed in accordance with FASB ASC 718. Assumptions used in the calculation of these amounts are included in Note 11 to our audited financial statements included in our Annual Report on Form 10-K.</w:t>
      </w:r>
    </w:p>
    <w:p>
      <w:pPr>
        <w:spacing w:after="0" w:line="21" w:lineRule="exact"/>
        <w:rPr>
          <w:rFonts w:ascii="Times New Roman" w:cs="Times New Roman" w:eastAsia="Times New Roman" w:hAnsi="Times New Roman"/>
          <w:sz w:val="18"/>
          <w:szCs w:val="18"/>
          <w:color w:val="auto"/>
        </w:rPr>
      </w:pPr>
    </w:p>
    <w:p>
      <w:pPr>
        <w:ind w:left="2340" w:right="1199" w:hanging="360"/>
        <w:spacing w:after="0" w:line="282" w:lineRule="auto"/>
        <w:tabs>
          <w:tab w:leader="none" w:pos="2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Knobil joined the Board in November 2021. This amount represents the pro-rata portion of her fees earned during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2022. Pursuant to this program, each of our directors who is not an employee of the Company is eligible to receive compensation for service on our Board of Directors and committees thereof.</w:t>
      </w:r>
    </w:p>
    <w:p>
      <w:pPr>
        <w:spacing w:after="0" w:line="113"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$ 30,000 (in addition to the annual cash retainer given to all eligible directors). The chairperson of the Audit Committee of our Board of Directors is entitled to receive an additional annual cash retainer in the amount of $ 15,000,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Equity Incentive Plan, with the shares vesting in 36 equal monthly installments, subject to continued service as a director through the vesting dates.</w:t>
      </w:r>
    </w:p>
    <w:p>
      <w:pPr>
        <w:spacing w:after="0" w:line="9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Equity Incentive Plan (the “Annual Grant”), provided that no Annual Grant shall total more than 80,000 shares, with the Annual Grant shares vesting on the first anniversary of the date of grant, subject to continued service as a director though the vesting date.</w:t>
      </w:r>
    </w:p>
    <w:p>
      <w:pPr>
        <w:spacing w:after="0" w:line="33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w:t>
      </w:r>
    </w:p>
    <w:p>
      <w:pPr>
        <w:spacing w:after="0" w:line="4" w:lineRule="exact"/>
        <w:rPr>
          <w:sz w:val="20"/>
          <w:szCs w:val="20"/>
          <w:color w:val="auto"/>
        </w:rPr>
      </w:pPr>
    </w:p>
    <w:p>
      <w:pPr>
        <w:ind w:left="1520" w:hanging="260"/>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(d) 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jc w:val="both"/>
        <w:ind w:left="1260" w:right="419"/>
        <w:spacing w:after="0" w:line="252" w:lineRule="auto"/>
        <w:tabs>
          <w:tab w:leader="none" w:pos="15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2020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Bio-Techne Corporation</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contract with Bio-Techne Corporation and two of its brands for the purchases of reagents, primarily cytokines. Mr. David Eansor, a member of our board of directors, is the President of the Protein Sciences Segment of Bio-Techne Corporation. In 2021, we purchased $306,000 of reagents from Bio-Techne Corporation. In 2020, we purchased $152,000 of reagents from Bio-Techne Corporation.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member of our board of directors, is the CEO of Wilson Wolf Manufacturing</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Corporation. In 2021, we purchased $280,000 of cell culture devices from Wilson Wolf Manufacturing Corporation. In 2020, we purchased $610,000 of cell culture devices from Wilson Wolf Manufacturing Corporation.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5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3200 Southwest Freeway, Suite 2500, Houston, Texas 77027.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5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814070" cy="368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40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April 15, 2022</w:t>
      </w:r>
    </w:p>
    <w:p>
      <w:pPr>
        <w:spacing w:after="0" w:line="154"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2021 is available without charge upon written request to Marker Therapeutics, Inc., Attention: Secretary, Marker Therapeutics, Inc., 3200 Southwest Freeway, Suite 2500, Houston, Texas 77027.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A</w:t>
      </w:r>
    </w:p>
    <w:p>
      <w:pPr>
        <w:spacing w:after="0" w:line="2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7579995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22"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87"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this corporation is Marker Therapeutics, Inc., and the date on which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of this corporation was originally filed with the Secretary of State of the State of Delaware was October 17, 2018, under the original name Marker Therapeutics, Inc.</w:t>
      </w:r>
    </w:p>
    <w:p>
      <w:pPr>
        <w:spacing w:after="0" w:line="96"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Sections 141 and 242 of the DGCL, adopted resolutions amending its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to provide that Section A of Article IV of the Certificate of Incorporation is amended and restated to read in its entirety as follows:</w:t>
      </w:r>
    </w:p>
    <w:p>
      <w:pPr>
        <w:spacing w:after="0" w:line="95" w:lineRule="exact"/>
        <w:rPr>
          <w:sz w:val="20"/>
          <w:szCs w:val="20"/>
          <w:color w:val="auto"/>
        </w:rPr>
      </w:pPr>
    </w:p>
    <w:p>
      <w:pPr>
        <w:jc w:val="both"/>
        <w:ind w:left="1620" w:right="419" w:firstLine="360"/>
        <w:spacing w:after="0" w:line="261" w:lineRule="auto"/>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305,000,000 shares, consisting of (i) 300,000,000 shares of Common Stock, $0.001 par value per share, and (ii) 5,000,000 shares of Preferred Stock, $0.001 par value per share.”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171"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to the stockholders of the Company for their approval, and was duly adopted in accordance with the provisions of Section 242 of the DGCL.</w:t>
      </w:r>
    </w:p>
    <w:p>
      <w:pPr>
        <w:spacing w:after="0" w:line="1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30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Therapeutics, Inc. has caused this Certificate of Amendment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President, Chief Executive Officer as of [***DATE***].</w:t>
      </w:r>
    </w:p>
    <w:p>
      <w:pPr>
        <w:spacing w:after="0" w:line="38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51435</wp:posOffset>
            </wp:positionV>
            <wp:extent cx="24003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9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Peter Hoang</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B</w:t>
      </w:r>
    </w:p>
    <w:p>
      <w:pPr>
        <w:spacing w:after="0" w:line="2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ROPOSALS</w:t>
      </w:r>
      <w:r>
        <w:rPr>
          <w:rFonts w:ascii="Times New Roman" w:cs="Times New Roman" w:eastAsia="Times New Roman" w:hAnsi="Times New Roman"/>
          <w:sz w:val="18"/>
          <w:szCs w:val="18"/>
          <w:b w:val="1"/>
          <w:bCs w:val="1"/>
          <w:color w:val="auto"/>
        </w:rPr>
        <w:t xml:space="preserve"> 4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7579995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ind w:right="-820"/>
        <w:spacing w:after="0" w:line="235"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07"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this corporation is Marker Therapeutics, Inc., and the date on which the Certificate</w:t>
      </w:r>
    </w:p>
    <w:p>
      <w:pPr>
        <w:spacing w:after="0" w:line="3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of Incorporation of this corporation was originally filed with the Secretary of State of the State of Delaware was October 17, 2018, under the original name Marker Therapeutics, Inc., [and was amended on May 24, 2022].</w:t>
      </w:r>
    </w:p>
    <w:p>
      <w:pPr>
        <w:spacing w:after="0" w:line="3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provisions of Sections 141 and 242 of the DGCL, adopted resolutions amending its Certificate of</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as follows:</w:t>
      </w:r>
    </w:p>
    <w:p>
      <w:pPr>
        <w:spacing w:after="0" w:line="89" w:lineRule="exact"/>
        <w:rPr>
          <w:sz w:val="20"/>
          <w:szCs w:val="20"/>
          <w:color w:val="auto"/>
        </w:rPr>
      </w:pPr>
    </w:p>
    <w:p>
      <w:pPr>
        <w:jc w:val="both"/>
        <w:ind w:left="1620" w:right="399"/>
        <w:spacing w:after="0" w:line="227" w:lineRule="auto"/>
        <w:rPr>
          <w:sz w:val="20"/>
          <w:szCs w:val="20"/>
          <w:color w:val="auto"/>
        </w:rPr>
      </w:pPr>
      <w:r>
        <w:rPr>
          <w:rFonts w:ascii="Times New Roman" w:cs="Times New Roman" w:eastAsia="Times New Roman" w:hAnsi="Times New Roman"/>
          <w:sz w:val="18"/>
          <w:szCs w:val="18"/>
          <w:color w:val="auto"/>
        </w:rPr>
        <w:t xml:space="preserve">Effective as of the effective time of 5:00 p.m., Eastern Time, on [***DATE***]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[three (3) / four (4) / five (5) / six (6) / seven (7) /eight (8) / nine (9) / ten (10) / eleven (11) / twelve (12)]</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 of the Company’s Common Stock, par value $0.001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Times New Roman" w:cs="Times New Roman" w:eastAsia="Times New Roman" w:hAnsi="Times New Roman"/>
          <w:sz w:val="18"/>
          <w:szCs w:val="18"/>
          <w:b w:val="1"/>
          <w:bCs w:val="1"/>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Split</w:t>
      </w:r>
      <w:r>
        <w:rPr>
          <w:rFonts w:ascii="Times New Roman" w:cs="Times New Roman" w:eastAsia="Times New Roman" w:hAnsi="Times New Roman"/>
          <w:sz w:val="18"/>
          <w:szCs w:val="18"/>
          <w:color w:val="auto"/>
        </w:rPr>
        <w:t>”); provided, however, no fractional shares of Common Stock shall be issued as a result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 -Reverse Split Common Stock to which such stockholder would otherwise be entitled multiplied by the average of the closing sales prices of a share of the Company’s Common Stock (as adjusted to give effect to the Reverse Split) on The Nasdaq Stock Market for each of the five</w:t>
      </w:r>
    </w:p>
    <w:p>
      <w:pPr>
        <w:spacing w:after="0" w:line="9" w:lineRule="exact"/>
        <w:rPr>
          <w:sz w:val="20"/>
          <w:szCs w:val="20"/>
          <w:color w:val="auto"/>
        </w:rPr>
      </w:pPr>
    </w:p>
    <w:p>
      <w:pPr>
        <w:jc w:val="both"/>
        <w:ind w:left="1620" w:right="419"/>
        <w:spacing w:after="0" w:line="236" w:lineRule="auto"/>
        <w:tabs>
          <w:tab w:leader="none" w:pos="19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Company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68580</wp:posOffset>
            </wp:positionV>
            <wp:extent cx="12344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2" w:lineRule="exact"/>
        <w:rPr>
          <w:sz w:val="20"/>
          <w:szCs w:val="20"/>
          <w:color w:val="auto"/>
        </w:rPr>
      </w:pPr>
    </w:p>
    <w:p>
      <w:pPr>
        <w:ind w:left="1620" w:hanging="360"/>
        <w:spacing w:after="0"/>
        <w:tabs>
          <w:tab w:leader="none" w:pos="162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next business day after filing with the Secretary of State of the State of Delaware.</w:t>
      </w:r>
    </w:p>
    <w:p>
      <w:pPr>
        <w:spacing w:after="0" w:line="63" w:lineRule="exact"/>
        <w:rPr>
          <w:sz w:val="20"/>
          <w:szCs w:val="20"/>
          <w:color w:val="auto"/>
        </w:rPr>
      </w:pPr>
    </w:p>
    <w:p>
      <w:pPr>
        <w:jc w:val="both"/>
        <w:ind w:left="1620" w:right="419" w:hanging="360"/>
        <w:spacing w:after="0"/>
        <w:tabs>
          <w:tab w:leader="none" w:pos="162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amendments approve the combination of any whole number of shares of the Company’s Common Stock between and including three (3) and twelve (12)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10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Section A of Article IV of the Certificate of Incorporation is amended and restated to read in its entirety as follows: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PROPOSAL 3 IS APPROVED]</w:t>
      </w:r>
    </w:p>
    <w:p>
      <w:pPr>
        <w:spacing w:after="0" w:line="15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[105,000,000 / 80,000,000 / 65,000,000 / 55,000,000 / 47,857,143 / 42,500,000 / 38,333,333 / 35,000,000 / 32,272,727 / 30,000,000]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consisting of (i) [100,000,000 / 75,000,000 / 60,000,000 / 50,000,000 / 42,857,143 / 37,500,000 / 33,333,333 / 30,000,000 / 27,272,727 / 25,000,000]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of Common Stock, $0.001 par value per share, and (ii) 5,000,000 shares of Preferred Stock, $0.001 par value per share.”</w:t>
      </w:r>
    </w:p>
    <w:p>
      <w:pPr>
        <w:spacing w:after="0" w:line="2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PROPOSAL 3 IS NOT APPROVED]</w:t>
      </w:r>
    </w:p>
    <w:p>
      <w:pPr>
        <w:spacing w:after="0" w:line="15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[55,000,000 / 42,500,000 / 35,000,000 / 30,000,000 / 26,428,571 / 23,750,000 / 21,666,667 / 20,000,000 / 18,636,364 / 17,500,000]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consisting of (i) [50,000,000 / 37,500,000 / 30,000,000 / 25,000,000 / 21,428,571 / 18,750,000 / 16,667,667 / 15,000,000 / 13,636,364 / 12,500,000]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of Common Stock, $0.001 par value per share, and (ii) 5,000,000 shares of Preferred Stock, $0.001 par value per share.”</w:t>
      </w:r>
    </w:p>
    <w:p>
      <w:pPr>
        <w:spacing w:after="0" w:line="2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158"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stockholders of the Company for their approval, and was duly adopted in accordance with the provisions of Section 242 of the DGCL.</w:t>
      </w:r>
    </w:p>
    <w:p>
      <w:pPr>
        <w:spacing w:after="0" w:line="96" w:lineRule="exact"/>
        <w:rPr>
          <w:sz w:val="20"/>
          <w:szCs w:val="20"/>
          <w:color w:val="auto"/>
        </w:rPr>
      </w:pPr>
    </w:p>
    <w:p>
      <w:pPr>
        <w:jc w:val="both"/>
        <w:ind w:left="1260" w:right="419" w:firstLine="360"/>
        <w:spacing w:after="0" w:line="277"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IFTH</w:t>
      </w:r>
      <w:r>
        <w:rPr>
          <w:rFonts w:ascii="Times New Roman" w:cs="Times New Roman" w:eastAsia="Times New Roman" w:hAnsi="Times New Roman"/>
          <w:sz w:val="18"/>
          <w:szCs w:val="18"/>
          <w:color w:val="auto"/>
        </w:rPr>
        <w:t>: This amendment to the Certificate of Incorporation shall be effective on and as of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time of 5:00 p.m., Eastern Time, on [***DATE***]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1897380</wp:posOffset>
            </wp:positionV>
            <wp:extent cx="12344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20" w:right="419" w:hanging="360"/>
        <w:spacing w:after="0"/>
        <w:tabs>
          <w:tab w:leader="none" w:pos="162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Assuming the reverse stock split proposal and the authorized shares reduction proposal are approved by the required stockholder vote and the Company’s Board of Directors elects to effect a reverse stock split, the number of shares of the Company’s total authorized Common Stock would be correspondingly, and 50% proportionally to the reverse stock split ratio determined by the Company’s Board of Directors, reduced (thereby effecting a reduction in the Company’s total authorized capital stock).</w:t>
      </w:r>
    </w:p>
    <w:p>
      <w:pPr>
        <w:spacing w:after="0" w:line="162" w:lineRule="exact"/>
        <w:rPr>
          <w:sz w:val="20"/>
          <w:szCs w:val="20"/>
          <w:color w:val="auto"/>
        </w:rPr>
      </w:pPr>
    </w:p>
    <w:p>
      <w:pPr>
        <w:ind w:left="1620" w:hanging="360"/>
        <w:spacing w:after="0"/>
        <w:tabs>
          <w:tab w:leader="none" w:pos="162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next business day after filing with the Secretary of State of the State of Delaware.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30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Therapeutics, Inc. has caused this Certificate of Amendment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President, Chief Executive Officer as of [***DATE***].</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-119380</wp:posOffset>
            </wp:positionV>
            <wp:extent cx="24771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Peter Hoang</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r>
        <w:rPr>
          <w:rFonts w:ascii="Times New Roman" w:cs="Times New Roman" w:eastAsia="Times New Roman" w:hAnsi="Times New Roman"/>
          <w:sz w:val="18"/>
          <w:szCs w:val="18"/>
          <w:b w:val="1"/>
          <w:bCs w:val="1"/>
          <w:color w:val="auto"/>
        </w:rPr>
        <w:t xml:space="preserve"> C</w:t>
      </w:r>
    </w:p>
    <w:p>
      <w:pPr>
        <w:spacing w:after="0" w:line="239"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7731125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14, 2020</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19, 2020</w:t>
      </w:r>
    </w:p>
    <w:p>
      <w:pPr>
        <w:spacing w:after="0" w:line="2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5, 2022</w:t>
      </w:r>
    </w:p>
    <w:p>
      <w:pPr>
        <w:spacing w:after="0" w:line="23" w:lineRule="exact"/>
        <w:rPr>
          <w:sz w:val="20"/>
          <w:szCs w:val="20"/>
          <w:color w:val="auto"/>
        </w:rPr>
      </w:pPr>
    </w:p>
    <w:tbl>
      <w:tblPr>
        <w:tblLayout w:type="fixed"/>
        <w:tblInd w:w="340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7122795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0000EE"/>
            </w:tcBorders>
            <w:shd w:val="clear" w:color="auto" w:fill="CCEEFF"/>
          </w:tcPr>
          <w:p>
            <w:pPr>
              <w:jc w:val="right"/>
              <w:spacing w:after="0" w:line="189"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1.</w:t>
              </w:r>
            </w:hyperlink>
          </w:p>
        </w:tc>
        <w:tc>
          <w:tcPr>
            <w:tcW w:w="680" w:type="dxa"/>
            <w:vAlign w:val="bottom"/>
            <w:tcBorders>
              <w:bottom w:val="single" w:sz="8" w:color="0000EE"/>
            </w:tcBorders>
            <w:shd w:val="clear" w:color="auto" w:fill="CCEEFF"/>
          </w:tcPr>
          <w:p>
            <w:pPr>
              <w:ind w:left="20"/>
              <w:spacing w:after="0" w:line="189"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G</w:t>
              </w:r>
              <w:r>
                <w:rPr>
                  <w:rFonts w:ascii="Times New Roman" w:cs="Times New Roman" w:eastAsia="Times New Roman" w:hAnsi="Times New Roman"/>
                  <w:sz w:val="12"/>
                  <w:szCs w:val="12"/>
                  <w:color w:val="0000EE"/>
                </w:rPr>
                <w:t>ENERAL</w:t>
              </w:r>
            </w:hyperlink>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right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C-1</w:t>
              </w:r>
            </w:hyperlink>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right"/>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2.</w:t>
              </w:r>
            </w:hyperlink>
          </w:p>
        </w:tc>
        <w:tc>
          <w:tcPr>
            <w:tcW w:w="2140" w:type="dxa"/>
            <w:vAlign w:val="bottom"/>
            <w:tcBorders>
              <w:top w:val="single" w:sz="8" w:color="CCEEFF"/>
              <w:bottom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S</w:t>
              </w:r>
              <w:r>
                <w:rPr>
                  <w:rFonts w:ascii="Times New Roman" w:cs="Times New Roman" w:eastAsia="Times New Roman" w:hAnsi="Times New Roman"/>
                  <w:sz w:val="12"/>
                  <w:szCs w:val="12"/>
                  <w:color w:val="0000EE"/>
                </w:rPr>
                <w:t>HARES</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UBJECT TO THE</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LAN</w:t>
              </w:r>
            </w:hyperlink>
          </w:p>
        </w:tc>
        <w:tc>
          <w:tcPr>
            <w:tcW w:w="900" w:type="dxa"/>
            <w:vAlign w:val="bottom"/>
            <w:tcBorders>
              <w:top w:val="single" w:sz="8" w:color="CCEEFF"/>
              <w:bottom w:val="single" w:sz="8" w:color="CCEEFF"/>
            </w:tcBorders>
          </w:tcPr>
          <w:p>
            <w:pPr>
              <w:spacing w:after="0"/>
              <w:rPr>
                <w:sz w:val="18"/>
                <w:szCs w:val="18"/>
                <w:color w:val="auto"/>
              </w:rPr>
            </w:pPr>
          </w:p>
        </w:tc>
        <w:tc>
          <w:tcPr>
            <w:tcW w:w="16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0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96"/>
              </w:rPr>
            </w:pPr>
            <w:hyperlink w:anchor="page80">
              <w:r>
                <w:rPr>
                  <w:rFonts w:ascii="Times New Roman" w:cs="Times New Roman" w:eastAsia="Times New Roman" w:hAnsi="Times New Roman"/>
                  <w:sz w:val="18"/>
                  <w:szCs w:val="18"/>
                  <w:color w:val="0000EE"/>
                  <w:w w:val="96"/>
                </w:rPr>
                <w:t>C-1</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3.</w:t>
              </w:r>
            </w:hyperlink>
          </w:p>
        </w:tc>
        <w:tc>
          <w:tcPr>
            <w:tcW w:w="2080" w:type="dxa"/>
            <w:vAlign w:val="bottom"/>
            <w:tcBorders>
              <w:bottom w:val="single" w:sz="8" w:color="0000EE"/>
            </w:tcBorders>
            <w:gridSpan w:val="8"/>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E</w:t>
              </w:r>
              <w:r>
                <w:rPr>
                  <w:rFonts w:ascii="Times New Roman" w:cs="Times New Roman" w:eastAsia="Times New Roman" w:hAnsi="Times New Roman"/>
                  <w:sz w:val="12"/>
                  <w:szCs w:val="12"/>
                  <w:color w:val="0000EE"/>
                </w:rPr>
                <w:t>LIGIBILITY AND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2"/>
                  <w:szCs w:val="12"/>
                  <w:color w:val="0000EE"/>
                </w:rPr>
                <w:t>IMITATIONS</w:t>
              </w:r>
            </w:hyperlink>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C-2</w:t>
              </w:r>
            </w:hyperlink>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right"/>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4.</w:t>
              </w:r>
            </w:hyperlink>
          </w:p>
        </w:tc>
        <w:tc>
          <w:tcPr>
            <w:tcW w:w="3040" w:type="dxa"/>
            <w:vAlign w:val="bottom"/>
            <w:tcBorders>
              <w:top w:val="single" w:sz="8" w:color="CCEEFF"/>
              <w:bottom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O</w:t>
              </w:r>
              <w:r>
                <w:rPr>
                  <w:rFonts w:ascii="Times New Roman" w:cs="Times New Roman" w:eastAsia="Times New Roman" w:hAnsi="Times New Roman"/>
                  <w:sz w:val="12"/>
                  <w:szCs w:val="12"/>
                  <w:color w:val="0000EE"/>
                </w:rPr>
                <w:t>PTIONS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TOCK</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PPRECIATION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w:t>
              </w:r>
            </w:hyperlink>
          </w:p>
        </w:tc>
        <w:tc>
          <w:tcPr>
            <w:tcW w:w="16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0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96"/>
              </w:rPr>
            </w:pPr>
            <w:hyperlink w:anchor="page82">
              <w:r>
                <w:rPr>
                  <w:rFonts w:ascii="Times New Roman" w:cs="Times New Roman" w:eastAsia="Times New Roman" w:hAnsi="Times New Roman"/>
                  <w:sz w:val="18"/>
                  <w:szCs w:val="18"/>
                  <w:color w:val="0000EE"/>
                  <w:w w:val="96"/>
                </w:rPr>
                <w:t>C-3</w:t>
              </w:r>
            </w:hyperlink>
          </w:p>
        </w:tc>
      </w:tr>
      <w:tr>
        <w:trPr>
          <w:trHeight w:val="24"/>
        </w:trPr>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0000EE"/>
            </w:tcBorders>
            <w:gridSpan w:val="13"/>
            <w:shd w:val="clear" w:color="auto" w:fill="CCEEFF"/>
          </w:tcPr>
          <w:p>
            <w:pPr>
              <w:ind w:left="80"/>
              <w:spacing w:after="0" w:line="200"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5. A</w:t>
              </w:r>
              <w:r>
                <w:rPr>
                  <w:rFonts w:ascii="Times New Roman" w:cs="Times New Roman" w:eastAsia="Times New Roman" w:hAnsi="Times New Roman"/>
                  <w:sz w:val="12"/>
                  <w:szCs w:val="12"/>
                  <w:color w:val="0000EE"/>
                </w:rPr>
                <w:t>WARDS</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THER</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2"/>
                  <w:szCs w:val="12"/>
                  <w:color w:val="0000EE"/>
                </w:rPr>
                <w:t>HAN</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2"/>
                  <w:szCs w:val="12"/>
                  <w:color w:val="0000EE"/>
                </w:rPr>
                <w:t>PTIONS AND</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TOCK</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2"/>
                  <w:szCs w:val="12"/>
                  <w:color w:val="0000EE"/>
                </w:rPr>
                <w:t>PPRECIATION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2"/>
                  <w:szCs w:val="12"/>
                  <w:color w:val="0000EE"/>
                </w:rPr>
                <w:t>IGHTS</w:t>
              </w:r>
            </w:hyperlink>
          </w:p>
        </w:tc>
        <w:tc>
          <w:tcPr>
            <w:tcW w:w="8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C-6</w:t>
              </w:r>
            </w:hyperlink>
          </w:p>
        </w:tc>
      </w:tr>
      <w:tr>
        <w:trPr>
          <w:trHeight w:val="216"/>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right"/>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6.</w:t>
              </w:r>
            </w:hyperlink>
          </w:p>
        </w:tc>
        <w:tc>
          <w:tcPr>
            <w:tcW w:w="5500" w:type="dxa"/>
            <w:vAlign w:val="bottom"/>
            <w:tcBorders>
              <w:top w:val="single" w:sz="8" w:color="CCEEFF"/>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DJUSTMENTS UPON</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HANGES IN</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OMMON</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2"/>
                  <w:szCs w:val="12"/>
                  <w:color w:val="0000EE"/>
                </w:rPr>
                <w:t>TOCK</w:t>
              </w:r>
              <w:r>
                <w:rPr>
                  <w:rFonts w:ascii="Times New Roman" w:cs="Times New Roman" w:eastAsia="Times New Roman" w:hAnsi="Times New Roman"/>
                  <w:sz w:val="18"/>
                  <w:szCs w:val="18"/>
                  <w:color w:val="0000EE"/>
                </w:rPr>
                <w:t>; O</w:t>
              </w:r>
              <w:r>
                <w:rPr>
                  <w:rFonts w:ascii="Times New Roman" w:cs="Times New Roman" w:eastAsia="Times New Roman" w:hAnsi="Times New Roman"/>
                  <w:sz w:val="12"/>
                  <w:szCs w:val="12"/>
                  <w:color w:val="0000EE"/>
                </w:rPr>
                <w:t>THER</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ORPORATE</w:t>
              </w:r>
              <w:r>
                <w:rPr>
                  <w:rFonts w:ascii="Times New Roman" w:cs="Times New Roman" w:eastAsia="Times New Roman" w:hAnsi="Times New Roman"/>
                  <w:sz w:val="18"/>
                  <w:szCs w:val="18"/>
                  <w:color w:val="0000EE"/>
                </w:rPr>
                <w:t xml:space="preserve"> E</w:t>
              </w:r>
              <w:r>
                <w:rPr>
                  <w:rFonts w:ascii="Times New Roman" w:cs="Times New Roman" w:eastAsia="Times New Roman" w:hAnsi="Times New Roman"/>
                  <w:sz w:val="12"/>
                  <w:szCs w:val="12"/>
                  <w:color w:val="0000EE"/>
                </w:rPr>
                <w:t>VENTS</w:t>
              </w:r>
            </w:hyperlink>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96"/>
              </w:rPr>
            </w:pPr>
            <w:hyperlink w:anchor="page86">
              <w:r>
                <w:rPr>
                  <w:rFonts w:ascii="Times New Roman" w:cs="Times New Roman" w:eastAsia="Times New Roman" w:hAnsi="Times New Roman"/>
                  <w:sz w:val="18"/>
                  <w:szCs w:val="18"/>
                  <w:color w:val="0000EE"/>
                  <w:w w:val="96"/>
                </w:rPr>
                <w:t>C-7</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7.</w:t>
              </w:r>
            </w:hyperlink>
          </w:p>
        </w:tc>
        <w:tc>
          <w:tcPr>
            <w:tcW w:w="1200" w:type="dxa"/>
            <w:vAlign w:val="bottom"/>
            <w:tcBorders>
              <w:bottom w:val="single" w:sz="8" w:color="0000EE"/>
            </w:tcBorders>
            <w:gridSpan w:val="5"/>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A</w:t>
              </w:r>
              <w:r>
                <w:rPr>
                  <w:rFonts w:ascii="Times New Roman" w:cs="Times New Roman" w:eastAsia="Times New Roman" w:hAnsi="Times New Roman"/>
                  <w:sz w:val="12"/>
                  <w:szCs w:val="12"/>
                  <w:color w:val="0000EE"/>
                </w:rPr>
                <w:t>DMINISTRATION</w:t>
              </w:r>
            </w:hyperlink>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5480" w:type="dxa"/>
            <w:vAlign w:val="bottom"/>
            <w:tcBorders>
              <w:bottom w:val="single" w:sz="8" w:color="CCEEFF"/>
              <w:right w:val="single" w:sz="8" w:color="CCEEFF"/>
            </w:tcBorders>
            <w:gridSpan w:val="5"/>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C-9</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00" w:type="dxa"/>
            <w:vAlign w:val="bottom"/>
            <w:tcBorders>
              <w:bottom w:val="single" w:sz="8" w:color="0000EE"/>
            </w:tcBorders>
            <w:gridSpan w:val="7"/>
          </w:tcPr>
          <w:p>
            <w:pPr>
              <w:ind w:left="80"/>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 T</w:t>
              </w:r>
              <w:r>
                <w:rPr>
                  <w:rFonts w:ascii="Times New Roman" w:cs="Times New Roman" w:eastAsia="Times New Roman" w:hAnsi="Times New Roman"/>
                  <w:sz w:val="12"/>
                  <w:szCs w:val="12"/>
                  <w:color w:val="0000EE"/>
                </w:rPr>
                <w:t>AX</w:t>
              </w:r>
              <w:r>
                <w:rPr>
                  <w:rFonts w:ascii="Times New Roman" w:cs="Times New Roman" w:eastAsia="Times New Roman" w:hAnsi="Times New Roman"/>
                  <w:sz w:val="18"/>
                  <w:szCs w:val="18"/>
                  <w:color w:val="0000EE"/>
                </w:rPr>
                <w:t xml:space="preserve"> W</w:t>
              </w:r>
              <w:r>
                <w:rPr>
                  <w:rFonts w:ascii="Times New Roman" w:cs="Times New Roman" w:eastAsia="Times New Roman" w:hAnsi="Times New Roman"/>
                  <w:sz w:val="12"/>
                  <w:szCs w:val="12"/>
                  <w:color w:val="0000EE"/>
                </w:rPr>
                <w:t>ITHHOLDING</w:t>
              </w:r>
            </w:hyperlink>
          </w:p>
        </w:tc>
        <w:tc>
          <w:tcPr>
            <w:tcW w:w="5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480" w:type="dxa"/>
            <w:vAlign w:val="bottom"/>
            <w:gridSpan w:val="5"/>
          </w:tcPr>
          <w:p>
            <w:pPr>
              <w:spacing w:after="0"/>
              <w:rPr>
                <w:sz w:val="18"/>
                <w:szCs w:val="18"/>
                <w:color w:val="auto"/>
              </w:rPr>
            </w:pPr>
          </w:p>
        </w:tc>
        <w:tc>
          <w:tcPr>
            <w:tcW w:w="360" w:type="dxa"/>
            <w:vAlign w:val="bottom"/>
            <w:gridSpan w:val="2"/>
          </w:tcPr>
          <w:p>
            <w:pPr>
              <w:jc w:val="right"/>
              <w:spacing w:after="0"/>
              <w:rPr>
                <w:rFonts w:ascii="Times New Roman" w:cs="Times New Roman" w:eastAsia="Times New Roman" w:hAnsi="Times New Roman"/>
                <w:sz w:val="18"/>
                <w:szCs w:val="18"/>
                <w:color w:val="0000EE"/>
                <w:w w:val="94"/>
              </w:rPr>
            </w:pPr>
            <w:hyperlink w:anchor="page90">
              <w:r>
                <w:rPr>
                  <w:rFonts w:ascii="Times New Roman" w:cs="Times New Roman" w:eastAsia="Times New Roman" w:hAnsi="Times New Roman"/>
                  <w:sz w:val="18"/>
                  <w:szCs w:val="18"/>
                  <w:color w:val="0000EE"/>
                  <w:w w:val="94"/>
                </w:rPr>
                <w:t>C-11</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9.</w:t>
              </w:r>
            </w:hyperlink>
          </w:p>
        </w:tc>
        <w:tc>
          <w:tcPr>
            <w:tcW w:w="1160" w:type="dxa"/>
            <w:vAlign w:val="bottom"/>
            <w:tcBorders>
              <w:bottom w:val="single" w:sz="8" w:color="0000EE"/>
            </w:tcBorders>
            <w:gridSpan w:val="4"/>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M</w:t>
              </w:r>
              <w:r>
                <w:rPr>
                  <w:rFonts w:ascii="Times New Roman" w:cs="Times New Roman" w:eastAsia="Times New Roman" w:hAnsi="Times New Roman"/>
                  <w:sz w:val="12"/>
                  <w:szCs w:val="12"/>
                  <w:color w:val="0000EE"/>
                </w:rPr>
                <w:t>ISCELLANEOUS</w:t>
              </w:r>
            </w:hyperlink>
          </w:p>
        </w:tc>
        <w:tc>
          <w:tcPr>
            <w:tcW w:w="74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5480" w:type="dxa"/>
            <w:vAlign w:val="bottom"/>
            <w:tcBorders>
              <w:bottom w:val="single" w:sz="8" w:color="CCEEFF"/>
              <w:right w:val="single" w:sz="8" w:color="CCEEFF"/>
            </w:tcBorders>
            <w:gridSpan w:val="5"/>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w w:val="94"/>
              </w:rPr>
            </w:pPr>
            <w:hyperlink w:anchor="page90">
              <w:r>
                <w:rPr>
                  <w:rFonts w:ascii="Times New Roman" w:cs="Times New Roman" w:eastAsia="Times New Roman" w:hAnsi="Times New Roman"/>
                  <w:sz w:val="18"/>
                  <w:szCs w:val="18"/>
                  <w:color w:val="0000EE"/>
                  <w:w w:val="94"/>
                </w:rPr>
                <w:t>C-11</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EE"/>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10.</w:t>
              </w:r>
            </w:hyperlink>
          </w:p>
        </w:tc>
        <w:tc>
          <w:tcPr>
            <w:tcW w:w="210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w:t>
              </w:r>
              <w:r>
                <w:rPr>
                  <w:rFonts w:ascii="Times New Roman" w:cs="Times New Roman" w:eastAsia="Times New Roman" w:hAnsi="Times New Roman"/>
                  <w:sz w:val="12"/>
                  <w:szCs w:val="12"/>
                  <w:color w:val="0000EE"/>
                </w:rPr>
                <w:t>OVENANTS OF THE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2"/>
                  <w:szCs w:val="12"/>
                  <w:color w:val="0000EE"/>
                </w:rPr>
                <w:t>OMPANY</w:t>
              </w:r>
            </w:hyperlink>
          </w:p>
        </w:tc>
        <w:tc>
          <w:tcPr>
            <w:tcW w:w="5480" w:type="dxa"/>
            <w:vAlign w:val="bottom"/>
            <w:gridSpan w:val="5"/>
          </w:tcPr>
          <w:p>
            <w:pPr>
              <w:spacing w:after="0"/>
              <w:rPr>
                <w:sz w:val="18"/>
                <w:szCs w:val="18"/>
                <w:color w:val="auto"/>
              </w:rPr>
            </w:pPr>
          </w:p>
        </w:tc>
        <w:tc>
          <w:tcPr>
            <w:tcW w:w="360" w:type="dxa"/>
            <w:vAlign w:val="bottom"/>
            <w:gridSpan w:val="2"/>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4"/>
        </w:trPr>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0000EE"/>
            </w:tcBorders>
            <w:gridSpan w:val="4"/>
            <w:shd w:val="clear" w:color="auto" w:fill="CCEEFF"/>
          </w:tcPr>
          <w:p>
            <w:pPr>
              <w:spacing w:after="0" w:line="200"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11. S</w:t>
              </w:r>
              <w:r>
                <w:rPr>
                  <w:rFonts w:ascii="Times New Roman" w:cs="Times New Roman" w:eastAsia="Times New Roman" w:hAnsi="Times New Roman"/>
                  <w:sz w:val="12"/>
                  <w:szCs w:val="12"/>
                  <w:color w:val="0000EE"/>
                </w:rPr>
                <w:t>EVERABILITY</w:t>
              </w:r>
            </w:hyperlink>
          </w:p>
        </w:tc>
        <w:tc>
          <w:tcPr>
            <w:tcW w:w="900" w:type="dxa"/>
            <w:vAlign w:val="bottom"/>
            <w:tcBorders>
              <w:bottom w:val="single" w:sz="8" w:color="CCEEFF"/>
            </w:tcBorders>
            <w:gridSpan w:val="4"/>
            <w:shd w:val="clear" w:color="auto" w:fill="CCEEFF"/>
          </w:tcPr>
          <w:p>
            <w:pPr>
              <w:spacing w:after="0"/>
              <w:rPr>
                <w:sz w:val="20"/>
                <w:szCs w:val="20"/>
                <w:color w:val="auto"/>
              </w:rPr>
            </w:pPr>
          </w:p>
        </w:tc>
        <w:tc>
          <w:tcPr>
            <w:tcW w:w="5680" w:type="dxa"/>
            <w:vAlign w:val="bottom"/>
            <w:tcBorders>
              <w:bottom w:val="single" w:sz="8" w:color="CCEEFF"/>
              <w:right w:val="single" w:sz="8" w:color="CCEEFF"/>
            </w:tcBorders>
            <w:gridSpan w:val="7"/>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EE"/>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12.</w:t>
              </w:r>
            </w:hyperlink>
          </w:p>
        </w:tc>
        <w:tc>
          <w:tcPr>
            <w:tcW w:w="190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T</w:t>
              </w:r>
              <w:r>
                <w:rPr>
                  <w:rFonts w:ascii="Times New Roman" w:cs="Times New Roman" w:eastAsia="Times New Roman" w:hAnsi="Times New Roman"/>
                  <w:sz w:val="12"/>
                  <w:szCs w:val="12"/>
                  <w:color w:val="0000EE"/>
                </w:rPr>
                <w:t>ERMINATION OF THE</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2"/>
                  <w:szCs w:val="12"/>
                  <w:color w:val="0000EE"/>
                </w:rPr>
                <w:t>LAN</w:t>
              </w:r>
            </w:hyperlink>
          </w:p>
        </w:tc>
        <w:tc>
          <w:tcPr>
            <w:tcW w:w="5680" w:type="dxa"/>
            <w:vAlign w:val="bottom"/>
            <w:gridSpan w:val="7"/>
          </w:tcPr>
          <w:p>
            <w:pPr>
              <w:spacing w:after="0"/>
              <w:rPr>
                <w:sz w:val="18"/>
                <w:szCs w:val="18"/>
                <w:color w:val="auto"/>
              </w:rPr>
            </w:pPr>
          </w:p>
        </w:tc>
        <w:tc>
          <w:tcPr>
            <w:tcW w:w="360" w:type="dxa"/>
            <w:vAlign w:val="bottom"/>
            <w:gridSpan w:val="2"/>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shd w:val="clear" w:color="auto" w:fill="CCEEFF"/>
          </w:tcPr>
          <w:p>
            <w:pPr>
              <w:jc w:val="right"/>
              <w:spacing w:after="0" w:line="200" w:lineRule="exact"/>
              <w:rPr>
                <w:rFonts w:ascii="Times New Roman" w:cs="Times New Roman" w:eastAsia="Times New Roman" w:hAnsi="Times New Roman"/>
                <w:sz w:val="18"/>
                <w:szCs w:val="18"/>
                <w:color w:val="0000EE"/>
                <w:w w:val="88"/>
              </w:rPr>
            </w:pPr>
            <w:hyperlink w:anchor="page93">
              <w:r>
                <w:rPr>
                  <w:rFonts w:ascii="Times New Roman" w:cs="Times New Roman" w:eastAsia="Times New Roman" w:hAnsi="Times New Roman"/>
                  <w:sz w:val="18"/>
                  <w:szCs w:val="18"/>
                  <w:color w:val="0000EE"/>
                  <w:w w:val="88"/>
                </w:rPr>
                <w:t>13.</w:t>
              </w:r>
            </w:hyperlink>
          </w:p>
        </w:tc>
        <w:tc>
          <w:tcPr>
            <w:tcW w:w="880" w:type="dxa"/>
            <w:vAlign w:val="bottom"/>
            <w:tcBorders>
              <w:bottom w:val="single" w:sz="8" w:color="0000EE"/>
            </w:tcBorders>
            <w:gridSpan w:val="2"/>
            <w:shd w:val="clear" w:color="auto" w:fill="CCEEFF"/>
          </w:tcPr>
          <w:p>
            <w:pPr>
              <w:ind w:left="20"/>
              <w:spacing w:after="0" w:line="200"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D</w:t>
              </w:r>
              <w:r>
                <w:rPr>
                  <w:rFonts w:ascii="Times New Roman" w:cs="Times New Roman" w:eastAsia="Times New Roman" w:hAnsi="Times New Roman"/>
                  <w:sz w:val="12"/>
                  <w:szCs w:val="12"/>
                  <w:color w:val="0000EE"/>
                </w:rPr>
                <w:t>EFINITIONS</w:t>
              </w:r>
            </w:hyperlink>
          </w:p>
        </w:tc>
        <w:tc>
          <w:tcPr>
            <w:tcW w:w="6700" w:type="dxa"/>
            <w:vAlign w:val="bottom"/>
            <w:tcBorders>
              <w:bottom w:val="single" w:sz="8" w:color="CCEEFF"/>
              <w:right w:val="single" w:sz="8" w:color="CCEEFF"/>
            </w:tcBorders>
            <w:gridSpan w:val="12"/>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w w:val="94"/>
              </w:rPr>
            </w:pPr>
            <w:hyperlink w:anchor="page93">
              <w:r>
                <w:rPr>
                  <w:rFonts w:ascii="Times New Roman" w:cs="Times New Roman" w:eastAsia="Times New Roman" w:hAnsi="Times New Roman"/>
                  <w:sz w:val="18"/>
                  <w:szCs w:val="18"/>
                  <w:color w:val="0000EE"/>
                  <w:w w:val="94"/>
                </w:rPr>
                <w:t>C-14</w:t>
              </w:r>
            </w:hyperlink>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EE"/>
          </w:tcPr>
          <w:p>
            <w:pPr>
              <w:spacing w:after="0"/>
              <w:rPr>
                <w:sz w:val="2"/>
                <w:szCs w:val="2"/>
                <w:color w:val="auto"/>
              </w:rPr>
            </w:pPr>
          </w:p>
        </w:tc>
        <w:tc>
          <w:tcPr>
            <w:tcW w:w="280" w:type="dxa"/>
            <w:vAlign w:val="bottom"/>
            <w:tcBorders>
              <w:top w:val="single" w:sz="8" w:color="CCEEFF"/>
            </w:tcBorders>
            <w:shd w:val="clear" w:color="auto" w:fill="0000E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-2348230</wp:posOffset>
            </wp:positionV>
            <wp:extent cx="4963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0" w:hanging="280"/>
        <w:spacing w:after="0"/>
        <w:tabs>
          <w:tab w:leader="none" w:pos="1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197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Plans. </w:t>
      </w:r>
      <w:r>
        <w:rPr>
          <w:rFonts w:ascii="Times New Roman" w:cs="Times New Roman" w:eastAsia="Times New Roman" w:hAnsi="Times New Roman"/>
          <w:sz w:val="18"/>
          <w:szCs w:val="18"/>
          <w:color w:val="auto"/>
        </w:rPr>
        <w:t>The Plan is the successor to and continuation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202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09"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199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 Nonstatutory Stock Options; (iii) SARs; (iv) Restricted Stock Awards; (v) RSU Awards; (vi) Performance Awards; and (vii) Other Awards.</w:t>
      </w:r>
    </w:p>
    <w:p>
      <w:pPr>
        <w:spacing w:after="0" w:line="90"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2042"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w:t>
      </w:r>
      <w:r>
        <w:rPr>
          <w:rFonts w:ascii="Times New Roman" w:cs="Times New Roman" w:eastAsia="Times New Roman" w:hAnsi="Times New Roman"/>
          <w:sz w:val="18"/>
          <w:szCs w:val="18"/>
          <w:color w:val="auto"/>
        </w:rPr>
        <w:t>The Plan will come into existence on the Adoption Date. No Award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w:t>
      </w:r>
    </w:p>
    <w:p>
      <w:pPr>
        <w:spacing w:after="0" w:line="109"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1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2(d) and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number of shares of Common Stock that may be issued pursuant to Awards will not exceed the sum of (i) 8,500,000 new shares that were approved at the Company’s 2022 Annual Meeting of Stockholders; plus (ii) 3,260,000 shares that were approved in connection with the initial adoption of the Plan as of the Effective Date; plus (iii) the Prior Plans’ Available Reserve; plus (iv) the number of Returning Shares, if any, as such shares become available from time to time.</w:t>
      </w:r>
    </w:p>
    <w:p>
      <w:pPr>
        <w:spacing w:after="0" w:line="310" w:lineRule="exact"/>
        <w:rPr>
          <w:rFonts w:ascii="Times New Roman" w:cs="Times New Roman" w:eastAsia="Times New Roman" w:hAnsi="Times New Roman"/>
          <w:sz w:val="18"/>
          <w:szCs w:val="18"/>
          <w:b w:val="1"/>
          <w:bCs w:val="1"/>
          <w:color w:val="auto"/>
        </w:rPr>
      </w:pPr>
    </w:p>
    <w:p>
      <w:pPr>
        <w:jc w:val="both"/>
        <w:ind w:left="1260" w:right="419" w:firstLine="360"/>
        <w:spacing w:after="0" w:line="242" w:lineRule="auto"/>
        <w:tabs>
          <w:tab w:leader="none" w:pos="2001"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Fungible Share Counting. </w:t>
      </w:r>
      <w:r>
        <w:rPr>
          <w:rFonts w:ascii="Times New Roman" w:cs="Times New Roman" w:eastAsia="Times New Roman" w:hAnsi="Times New Roman"/>
          <w:sz w:val="18"/>
          <w:szCs w:val="18"/>
          <w:color w:val="auto"/>
        </w:rPr>
        <w:t>Subject to adjustment in accordance with Section 2(d),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 w:cs="Times New Roman" w:eastAsia="Times New Roman" w:hAnsi="Times New Roman"/>
          <w:sz w:val="18"/>
          <w:szCs w:val="18"/>
          <w:b w:val="1"/>
          <w:bCs w:val="1"/>
          <w:i w:val="1"/>
          <w:iCs w:val="1"/>
          <w:color w:val="auto"/>
        </w:rPr>
        <w:t>Appreciation Award</w:t>
      </w:r>
      <w:r>
        <w:rPr>
          <w:rFonts w:ascii="Times New Roman" w:cs="Times New Roman" w:eastAsia="Times New Roman" w:hAnsi="Times New Roman"/>
          <w:sz w:val="18"/>
          <w:szCs w:val="18"/>
          <w:color w:val="auto"/>
        </w:rPr>
        <w:t>”); and (ii) 1.23 shares for each share of Common Stock issued pursuant to any Award (other than an Appreciation Award) (each, a “</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196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any adjustments as necessary to implement any Capitalization Adjustments, the aggregate maximum number of shares of Common Stock that may be issued pursuant to the exercise of Incentive Stock Options is 57,818,394 shares.</w:t>
      </w:r>
    </w:p>
    <w:p>
      <w:pPr>
        <w:spacing w:after="0" w:line="10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44" w:lineRule="exact"/>
        <w:rPr>
          <w:rFonts w:ascii="Times New Roman" w:cs="Times New Roman" w:eastAsia="Times New Roman" w:hAnsi="Times New Roman"/>
          <w:sz w:val="18"/>
          <w:szCs w:val="18"/>
          <w:b w:val="1"/>
          <w:bCs w:val="1"/>
          <w:color w:val="auto"/>
        </w:rPr>
      </w:pPr>
    </w:p>
    <w:p>
      <w:pPr>
        <w:jc w:val="both"/>
        <w:ind w:left="1620" w:right="419" w:firstLine="360"/>
        <w:spacing w:after="0" w:line="239" w:lineRule="auto"/>
        <w:tabs>
          <w:tab w:leader="none" w:pos="2284"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19" w:lineRule="exact"/>
        <w:rPr>
          <w:rFonts w:ascii="Times New Roman" w:cs="Times New Roman" w:eastAsia="Times New Roman" w:hAnsi="Times New Roman"/>
          <w:sz w:val="18"/>
          <w:szCs w:val="18"/>
          <w:b w:val="1"/>
          <w:bCs w:val="1"/>
          <w:color w:val="auto"/>
        </w:rPr>
      </w:pPr>
    </w:p>
    <w:p>
      <w:pPr>
        <w:jc w:val="both"/>
        <w:ind w:left="1620" w:right="399" w:firstLine="360"/>
        <w:spacing w:after="0" w:line="244" w:lineRule="auto"/>
        <w:tabs>
          <w:tab w:leader="none" w:pos="2493"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 in an issuance of shares under the Plan and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reduce the number of shares subject to the Share Reserve and available for issuance under the Plan: (1) the expiration or termination of any portion of an Award without the shares covered by such portion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or strike price of an Appreciation Award;</w:t>
      </w:r>
    </w:p>
    <w:p>
      <w:pPr>
        <w:spacing w:after="0" w:line="1" w:lineRule="exact"/>
        <w:rPr>
          <w:sz w:val="20"/>
          <w:szCs w:val="20"/>
          <w:color w:val="auto"/>
        </w:rPr>
      </w:pPr>
    </w:p>
    <w:p>
      <w:pPr>
        <w:ind w:left="1620" w:right="419"/>
        <w:spacing w:after="0" w:line="260" w:lineRule="auto"/>
        <w:tabs>
          <w:tab w:leader="none" w:pos="194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of shares that would otherwise be issued by the Company to satisfy a tax withholding obligation in connection with an Appreciation Award.</w:t>
      </w:r>
    </w:p>
    <w:p>
      <w:pPr>
        <w:spacing w:after="0" w:line="96" w:lineRule="exact"/>
        <w:rPr>
          <w:rFonts w:ascii="Times New Roman" w:cs="Times New Roman" w:eastAsia="Times New Roman" w:hAnsi="Times New Roman"/>
          <w:sz w:val="18"/>
          <w:szCs w:val="18"/>
          <w:color w:val="auto"/>
        </w:rPr>
      </w:pPr>
    </w:p>
    <w:p>
      <w:pPr>
        <w:jc w:val="both"/>
        <w:ind w:left="1620" w:right="419" w:firstLine="360"/>
        <w:spacing w:after="0" w:line="254" w:lineRule="auto"/>
        <w:tabs>
          <w:tab w:leader="none" w:pos="2445"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1.23 shares.</w:t>
      </w:r>
    </w:p>
    <w:p>
      <w:pPr>
        <w:spacing w:after="0" w:line="117" w:lineRule="exact"/>
        <w:rPr>
          <w:rFonts w:ascii="Times New Roman" w:cs="Times New Roman" w:eastAsia="Times New Roman" w:hAnsi="Times New Roman"/>
          <w:sz w:val="18"/>
          <w:szCs w:val="18"/>
          <w:b w:val="1"/>
          <w:bCs w:val="1"/>
          <w:color w:val="auto"/>
        </w:rPr>
      </w:pPr>
    </w:p>
    <w:p>
      <w:pPr>
        <w:jc w:val="both"/>
        <w:ind w:left="1620" w:right="419" w:firstLine="360"/>
        <w:spacing w:after="0" w:line="255" w:lineRule="auto"/>
        <w:tabs>
          <w:tab w:leader="none" w:pos="2398"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Any shares of Common Stock reacquired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(or not issued) by the Company to satisfy the purchase price of a Full Value Award will no longer be available for issuance under the Plan, including any shares subject to a Full Value Award that are not delivered to a Participant because such Full Value Award is settled through a reduction of shares subject to such Full Value Award. In addition, any shares reacquired or withheld (or not issued) by the Company to satisfy a tax withholding obligation in connection with a Full Value Award, or any shares repurchased by the Company on the open market with the proceeds from the purchase price of a Full Value Award will no longer be available for issuance under the Plan.</w:t>
      </w:r>
    </w:p>
    <w:p>
      <w:pPr>
        <w:spacing w:after="0" w:line="117"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1260" w:right="419" w:firstLine="360"/>
        <w:spacing w:after="0" w:line="286" w:lineRule="auto"/>
        <w:tabs>
          <w:tab w:leader="none" w:pos="196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eligible to receive Awards.</w:t>
      </w:r>
    </w:p>
    <w:p>
      <w:pPr>
        <w:spacing w:after="0" w:line="8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57" w:lineRule="exact"/>
        <w:rPr>
          <w:rFonts w:ascii="Times New Roman" w:cs="Times New Roman" w:eastAsia="Times New Roman" w:hAnsi="Times New Roman"/>
          <w:sz w:val="18"/>
          <w:szCs w:val="18"/>
          <w:b w:val="1"/>
          <w:bCs w:val="1"/>
          <w:color w:val="auto"/>
        </w:rPr>
      </w:pPr>
    </w:p>
    <w:p>
      <w:pPr>
        <w:jc w:val="both"/>
        <w:ind w:left="1620" w:right="419" w:firstLine="360"/>
        <w:spacing w:after="0" w:line="268" w:lineRule="auto"/>
        <w:tabs>
          <w:tab w:leader="none" w:pos="2338"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to Employees of the Company or a “parent corporation” or “subsidiary corporation” thereof (as such terms are defined in Sections 424(e) and (f) of the Code).</w:t>
      </w:r>
    </w:p>
    <w:p>
      <w:pPr>
        <w:spacing w:after="0" w:line="89" w:lineRule="exact"/>
        <w:rPr>
          <w:rFonts w:ascii="Times New Roman" w:cs="Times New Roman" w:eastAsia="Times New Roman" w:hAnsi="Times New Roman"/>
          <w:sz w:val="18"/>
          <w:szCs w:val="18"/>
          <w:b w:val="1"/>
          <w:bCs w:val="1"/>
          <w:color w:val="auto"/>
        </w:rPr>
      </w:pPr>
    </w:p>
    <w:p>
      <w:pPr>
        <w:jc w:val="both"/>
        <w:ind w:left="1620" w:right="419" w:firstLine="360"/>
        <w:spacing w:after="0" w:line="255" w:lineRule="auto"/>
        <w:tabs>
          <w:tab w:leader="none" w:pos="2398"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17" w:lineRule="exact"/>
        <w:rPr>
          <w:rFonts w:ascii="Times New Roman" w:cs="Times New Roman" w:eastAsia="Times New Roman" w:hAnsi="Times New Roman"/>
          <w:sz w:val="18"/>
          <w:szCs w:val="18"/>
          <w:b w:val="1"/>
          <w:bCs w:val="1"/>
          <w:color w:val="auto"/>
        </w:rPr>
      </w:pPr>
    </w:p>
    <w:p>
      <w:pPr>
        <w:jc w:val="both"/>
        <w:ind w:left="1620" w:right="419" w:firstLine="360"/>
        <w:spacing w:after="0" w:line="262" w:lineRule="auto"/>
        <w:tabs>
          <w:tab w:leader="none" w:pos="240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08" w:lineRule="exact"/>
        <w:rPr>
          <w:rFonts w:ascii="Times New Roman" w:cs="Times New Roman" w:eastAsia="Times New Roman" w:hAnsi="Times New Roman"/>
          <w:sz w:val="18"/>
          <w:szCs w:val="18"/>
          <w:b w:val="1"/>
          <w:bCs w:val="1"/>
          <w:color w:val="auto"/>
        </w:rPr>
      </w:pPr>
    </w:p>
    <w:p>
      <w:pPr>
        <w:jc w:val="both"/>
        <w:ind w:left="1620" w:right="419" w:firstLine="360"/>
        <w:spacing w:after="0" w:line="257" w:lineRule="auto"/>
        <w:tabs>
          <w:tab w:leader="none" w:pos="2371"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20" w:right="419" w:firstLine="360"/>
        <w:spacing w:after="0" w:line="259" w:lineRule="auto"/>
        <w:tabs>
          <w:tab w:leader="none" w:pos="241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credited, as applicable, with respect to any shares of Common Stock subject to an Award, as determined by the Board and contained in the applicable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jc w:val="both"/>
        <w:ind w:left="1620" w:right="419"/>
        <w:spacing w:after="0" w:line="252" w:lineRule="auto"/>
        <w:tabs>
          <w:tab w:leader="none" w:pos="18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319" w:lineRule="exact"/>
        <w:rPr>
          <w:sz w:val="20"/>
          <w:szCs w:val="20"/>
          <w:color w:val="auto"/>
        </w:rPr>
      </w:pPr>
    </w:p>
    <w:p>
      <w:pPr>
        <w:jc w:val="both"/>
        <w:ind w:left="1260" w:right="419" w:firstLine="360"/>
        <w:spacing w:after="0" w:line="268" w:lineRule="auto"/>
        <w:tabs>
          <w:tab w:leader="none" w:pos="1981"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issued pursuant to the exercise of Incentive Stock Options is the number of shares specified in Section 2(c).</w:t>
      </w:r>
    </w:p>
    <w:p>
      <w:pPr>
        <w:spacing w:after="0" w:line="103" w:lineRule="exact"/>
        <w:rPr>
          <w:rFonts w:ascii="Times New Roman" w:cs="Times New Roman" w:eastAsia="Times New Roman" w:hAnsi="Times New Roman"/>
          <w:sz w:val="18"/>
          <w:szCs w:val="18"/>
          <w:b w:val="1"/>
          <w:bCs w:val="1"/>
          <w:color w:val="auto"/>
        </w:rPr>
      </w:pPr>
    </w:p>
    <w:p>
      <w:pPr>
        <w:jc w:val="both"/>
        <w:ind w:left="1260" w:right="419" w:firstLine="360"/>
        <w:spacing w:after="0" w:line="257" w:lineRule="auto"/>
        <w:tabs>
          <w:tab w:leader="none" w:pos="1988"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as applicable, to any 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114"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20" w:lineRule="exact"/>
        <w:rPr>
          <w:sz w:val="20"/>
          <w:szCs w:val="20"/>
          <w:color w:val="auto"/>
        </w:rPr>
      </w:pPr>
    </w:p>
    <w:p>
      <w:pPr>
        <w:jc w:val="both"/>
        <w:ind w:left="1260" w:right="419" w:firstLine="360"/>
        <w:spacing w:after="0" w:line="268" w:lineRule="auto"/>
        <w:tabs>
          <w:tab w:leader="none" w:pos="201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after the expiration of ten years from the date of grant of such Award or such shorter period specified in the Award Agreement.</w:t>
      </w:r>
    </w:p>
    <w:p>
      <w:pPr>
        <w:spacing w:after="0" w:line="103"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198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01"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196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341" w:lineRule="exact"/>
        <w:rPr>
          <w:rFonts w:ascii="Times New Roman" w:cs="Times New Roman" w:eastAsia="Times New Roman" w:hAnsi="Times New Roman"/>
          <w:sz w:val="18"/>
          <w:szCs w:val="18"/>
          <w:b w:val="1"/>
          <w:bCs w:val="1"/>
          <w:color w:val="auto"/>
        </w:rPr>
      </w:pPr>
    </w:p>
    <w:p>
      <w:pPr>
        <w:ind w:left="2280" w:hanging="300"/>
        <w:spacing w:after="0"/>
        <w:tabs>
          <w:tab w:leader="none" w:pos="228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61" w:lineRule="auto"/>
        <w:tabs>
          <w:tab w:leader="none" w:pos="2371"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98" w:lineRule="exact"/>
        <w:rPr>
          <w:rFonts w:ascii="Times New Roman" w:cs="Times New Roman" w:eastAsia="Times New Roman" w:hAnsi="Times New Roman"/>
          <w:sz w:val="18"/>
          <w:szCs w:val="18"/>
          <w:b w:val="1"/>
          <w:bCs w:val="1"/>
          <w:color w:val="auto"/>
        </w:rPr>
      </w:pPr>
    </w:p>
    <w:p>
      <w:pPr>
        <w:jc w:val="both"/>
        <w:ind w:left="1620" w:right="419" w:firstLine="360"/>
        <w:spacing w:after="0" w:line="254" w:lineRule="auto"/>
        <w:tabs>
          <w:tab w:leader="none" w:pos="2425"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336" w:lineRule="exact"/>
        <w:rPr>
          <w:rFonts w:ascii="Times New Roman" w:cs="Times New Roman" w:eastAsia="Times New Roman" w:hAnsi="Times New Roman"/>
          <w:sz w:val="18"/>
          <w:szCs w:val="18"/>
          <w:b w:val="1"/>
          <w:bCs w:val="1"/>
          <w:color w:val="auto"/>
        </w:rPr>
      </w:pPr>
    </w:p>
    <w:p>
      <w:pPr>
        <w:jc w:val="both"/>
        <w:ind w:left="1620" w:right="419" w:firstLine="360"/>
        <w:spacing w:after="0" w:line="256" w:lineRule="auto"/>
        <w:tabs>
          <w:tab w:leader="none" w:pos="2428"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9" w:lineRule="exact"/>
        <w:rPr>
          <w:rFonts w:ascii="Times New Roman" w:cs="Times New Roman" w:eastAsia="Times New Roman" w:hAnsi="Times New Roman"/>
          <w:sz w:val="18"/>
          <w:szCs w:val="18"/>
          <w:b w:val="1"/>
          <w:bCs w:val="1"/>
          <w:color w:val="auto"/>
        </w:rPr>
      </w:pPr>
    </w:p>
    <w:p>
      <w:pPr>
        <w:ind w:left="1620" w:right="419" w:firstLine="360"/>
        <w:spacing w:after="0" w:line="282" w:lineRule="auto"/>
        <w:tabs>
          <w:tab w:leader="none" w:pos="2338"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76"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2001"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1981"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335" w:lineRule="exact"/>
        <w:rPr>
          <w:rFonts w:ascii="Times New Roman" w:cs="Times New Roman" w:eastAsia="Times New Roman" w:hAnsi="Times New Roman"/>
          <w:sz w:val="18"/>
          <w:szCs w:val="18"/>
          <w:b w:val="1"/>
          <w:bCs w:val="1"/>
          <w:color w:val="auto"/>
        </w:rPr>
      </w:pPr>
    </w:p>
    <w:p>
      <w:pPr>
        <w:jc w:val="both"/>
        <w:ind w:left="1620" w:right="419" w:firstLine="360"/>
        <w:spacing w:after="0" w:line="255" w:lineRule="auto"/>
        <w:tabs>
          <w:tab w:leader="none" w:pos="2298"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323" w:lineRule="exact"/>
        <w:rPr>
          <w:rFonts w:ascii="Times New Roman" w:cs="Times New Roman" w:eastAsia="Times New Roman" w:hAnsi="Times New Roman"/>
          <w:sz w:val="18"/>
          <w:szCs w:val="18"/>
          <w:b w:val="1"/>
          <w:bCs w:val="1"/>
          <w:color w:val="auto"/>
        </w:rPr>
      </w:pPr>
    </w:p>
    <w:p>
      <w:pPr>
        <w:jc w:val="both"/>
        <w:ind w:left="1620" w:right="419" w:firstLine="360"/>
        <w:spacing w:after="0" w:line="265" w:lineRule="auto"/>
        <w:tabs>
          <w:tab w:leader="none" w:pos="2439"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documentation in a format acceptable to the Company and subject to the approval of the Board or a duly authorized Officer, an Option or SAR may be transferred pursuant to a domestic relations order.</w:t>
      </w:r>
    </w:p>
    <w:p>
      <w:pPr>
        <w:spacing w:after="0" w:line="326" w:lineRule="exact"/>
        <w:rPr>
          <w:rFonts w:ascii="Times New Roman" w:cs="Times New Roman" w:eastAsia="Times New Roman" w:hAnsi="Times New Roman"/>
          <w:sz w:val="18"/>
          <w:szCs w:val="18"/>
          <w:b w:val="1"/>
          <w:bCs w:val="1"/>
          <w:color w:val="auto"/>
        </w:rPr>
      </w:pPr>
    </w:p>
    <w:p>
      <w:pPr>
        <w:jc w:val="both"/>
        <w:ind w:left="1260" w:right="419" w:firstLine="360"/>
        <w:spacing w:after="0" w:line="262" w:lineRule="auto"/>
        <w:tabs>
          <w:tab w:leader="none" w:pos="2083"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39" w:lineRule="auto"/>
        <w:tabs>
          <w:tab w:leader="none" w:pos="204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06"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2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 a Participant’s Continuous Service terminates for any reason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328"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388"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94"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50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81"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53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94" w:lineRule="exact"/>
        <w:rPr>
          <w:rFonts w:ascii="Times New Roman" w:cs="Times New Roman" w:eastAsia="Times New Roman" w:hAnsi="Times New Roman"/>
          <w:sz w:val="18"/>
          <w:szCs w:val="18"/>
          <w:b w:val="1"/>
          <w:bCs w:val="1"/>
          <w:color w:val="auto"/>
        </w:rPr>
      </w:pPr>
    </w:p>
    <w:p>
      <w:pPr>
        <w:jc w:val="both"/>
        <w:ind w:left="1620" w:right="419" w:firstLine="360"/>
        <w:spacing w:after="0" w:line="246" w:lineRule="auto"/>
        <w:tabs>
          <w:tab w:leader="none" w:pos="2428"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w:t>
      </w:r>
    </w:p>
    <w:p>
      <w:pPr>
        <w:ind w:left="1840" w:hanging="220"/>
        <w:spacing w:after="0"/>
        <w:tabs>
          <w:tab w:leader="none" w:pos="1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w:t>
      </w:r>
    </w:p>
    <w:p>
      <w:pPr>
        <w:spacing w:after="0" w:line="124" w:lineRule="exact"/>
        <w:rPr>
          <w:sz w:val="20"/>
          <w:szCs w:val="20"/>
          <w:color w:val="auto"/>
        </w:rPr>
      </w:pPr>
    </w:p>
    <w:p>
      <w:pPr>
        <w:jc w:val="both"/>
        <w:ind w:left="1620" w:right="419"/>
        <w:spacing w:after="0" w:line="242"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00" w:lineRule="exact"/>
        <w:rPr>
          <w:sz w:val="20"/>
          <w:szCs w:val="20"/>
          <w:color w:val="auto"/>
        </w:rPr>
      </w:pPr>
    </w:p>
    <w:p>
      <w:pPr>
        <w:jc w:val="both"/>
        <w:ind w:left="1260" w:right="419" w:firstLine="360"/>
        <w:spacing w:after="0"/>
        <w:tabs>
          <w:tab w:leader="none" w:pos="1951"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292" w:lineRule="exact"/>
        <w:rPr>
          <w:rFonts w:ascii="Times New Roman" w:cs="Times New Roman" w:eastAsia="Times New Roman" w:hAnsi="Times New Roman"/>
          <w:sz w:val="18"/>
          <w:szCs w:val="18"/>
          <w:b w:val="1"/>
          <w:bCs w:val="1"/>
          <w:color w:val="auto"/>
        </w:rPr>
      </w:pPr>
    </w:p>
    <w:p>
      <w:pPr>
        <w:jc w:val="both"/>
        <w:ind w:left="1260" w:right="419" w:firstLine="360"/>
        <w:spacing w:after="0" w:line="238" w:lineRule="auto"/>
        <w:tabs>
          <w:tab w:leader="none" w:pos="1948"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w:t>
      </w:r>
    </w:p>
    <w:p>
      <w:pPr>
        <w:spacing w:after="0" w:line="4" w:lineRule="exact"/>
        <w:rPr>
          <w:rFonts w:ascii="Times New Roman" w:cs="Times New Roman" w:eastAsia="Times New Roman" w:hAnsi="Times New Roman"/>
          <w:sz w:val="18"/>
          <w:szCs w:val="18"/>
          <w:b w:val="1"/>
          <w:bCs w:val="1"/>
          <w:color w:val="auto"/>
        </w:rPr>
      </w:pPr>
    </w:p>
    <w:p>
      <w:pPr>
        <w:jc w:val="both"/>
        <w:ind w:left="1260" w:right="419"/>
        <w:spacing w:after="0"/>
        <w:tabs>
          <w:tab w:leader="none" w:pos="16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retirement (as such term may be defined in the Award Agreement or another applicable agreement or, in the absence of any such definition, in accordance with the Company’s then current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employment policies and guidelines). This Section 4(j) is intended to operate so that any income derived by a non-exempt employee in connection with the exercise or vesting of an Option or SAR will be exempt from his or her regular rate of pay.</w:t>
      </w:r>
    </w:p>
    <w:p>
      <w:pPr>
        <w:spacing w:after="0" w:line="92" w:lineRule="exact"/>
        <w:rPr>
          <w:sz w:val="20"/>
          <w:szCs w:val="20"/>
          <w:color w:val="auto"/>
        </w:rPr>
      </w:pPr>
    </w:p>
    <w:p>
      <w:pPr>
        <w:ind w:left="1260" w:right="419" w:firstLine="360"/>
        <w:spacing w:after="0" w:line="271" w:lineRule="auto"/>
        <w:tabs>
          <w:tab w:leader="none" w:pos="1974"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their equivalents.</w:t>
      </w:r>
    </w:p>
    <w:p>
      <w:pPr>
        <w:spacing w:after="0" w:line="86"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2018"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96" w:lineRule="exact"/>
        <w:rPr>
          <w:rFonts w:ascii="Times New Roman" w:cs="Times New Roman" w:eastAsia="Times New Roman" w:hAnsi="Times New Roman"/>
          <w:sz w:val="18"/>
          <w:szCs w:val="18"/>
          <w:b w:val="1"/>
          <w:bCs w:val="1"/>
          <w:color w:val="auto"/>
        </w:rPr>
      </w:pPr>
    </w:p>
    <w:p>
      <w:pPr>
        <w:ind w:left="2280" w:hanging="300"/>
        <w:spacing w:after="0"/>
        <w:tabs>
          <w:tab w:leader="none" w:pos="2280"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61" w:lineRule="exact"/>
        <w:rPr>
          <w:rFonts w:ascii="Times New Roman" w:cs="Times New Roman" w:eastAsia="Times New Roman" w:hAnsi="Times New Roman"/>
          <w:sz w:val="18"/>
          <w:szCs w:val="18"/>
          <w:b w:val="1"/>
          <w:bCs w:val="1"/>
          <w:color w:val="auto"/>
        </w:rPr>
      </w:pPr>
    </w:p>
    <w:p>
      <w:pPr>
        <w:jc w:val="both"/>
        <w:ind w:left="1980" w:right="419" w:firstLine="360"/>
        <w:spacing w:after="0"/>
        <w:tabs>
          <w:tab w:leader="none" w:pos="2771" w:val="left"/>
        </w:tabs>
        <w:numPr>
          <w:ilvl w:val="3"/>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324" w:lineRule="exact"/>
        <w:rPr>
          <w:rFonts w:ascii="Times New Roman" w:cs="Times New Roman" w:eastAsia="Times New Roman" w:hAnsi="Times New Roman"/>
          <w:sz w:val="18"/>
          <w:szCs w:val="18"/>
          <w:b w:val="1"/>
          <w:bCs w:val="1"/>
          <w:color w:val="auto"/>
        </w:rPr>
      </w:pPr>
    </w:p>
    <w:p>
      <w:pPr>
        <w:jc w:val="both"/>
        <w:ind w:left="1980" w:right="419" w:firstLine="360"/>
        <w:spacing w:after="0"/>
        <w:tabs>
          <w:tab w:leader="none" w:pos="2745" w:val="left"/>
        </w:tabs>
        <w:numPr>
          <w:ilvl w:val="3"/>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93" w:lineRule="exact"/>
        <w:rPr>
          <w:rFonts w:ascii="Times New Roman" w:cs="Times New Roman" w:eastAsia="Times New Roman" w:hAnsi="Times New Roman"/>
          <w:sz w:val="18"/>
          <w:szCs w:val="18"/>
          <w:b w:val="1"/>
          <w:bCs w:val="1"/>
          <w:color w:val="auto"/>
        </w:rPr>
      </w:pPr>
    </w:p>
    <w:p>
      <w:pPr>
        <w:ind w:left="2340" w:hanging="360"/>
        <w:spacing w:after="0"/>
        <w:tabs>
          <w:tab w:leader="none" w:pos="2340"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61" w:lineRule="exact"/>
        <w:rPr>
          <w:rFonts w:ascii="Times New Roman" w:cs="Times New Roman" w:eastAsia="Times New Roman" w:hAnsi="Times New Roman"/>
          <w:sz w:val="18"/>
          <w:szCs w:val="18"/>
          <w:b w:val="1"/>
          <w:bCs w:val="1"/>
          <w:color w:val="auto"/>
        </w:rPr>
      </w:pPr>
    </w:p>
    <w:p>
      <w:pPr>
        <w:jc w:val="both"/>
        <w:ind w:left="1980" w:right="419" w:firstLine="360"/>
        <w:spacing w:after="0" w:line="245" w:lineRule="auto"/>
        <w:tabs>
          <w:tab w:leader="none" w:pos="2715" w:val="left"/>
        </w:tabs>
        <w:numPr>
          <w:ilvl w:val="3"/>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13" w:lineRule="exact"/>
        <w:rPr>
          <w:rFonts w:ascii="Times New Roman" w:cs="Times New Roman" w:eastAsia="Times New Roman" w:hAnsi="Times New Roman"/>
          <w:sz w:val="18"/>
          <w:szCs w:val="18"/>
          <w:b w:val="1"/>
          <w:bCs w:val="1"/>
          <w:color w:val="auto"/>
        </w:rPr>
      </w:pPr>
    </w:p>
    <w:p>
      <w:pPr>
        <w:jc w:val="both"/>
        <w:ind w:left="1980" w:right="419" w:firstLine="360"/>
        <w:spacing w:after="0" w:line="238" w:lineRule="auto"/>
        <w:tabs>
          <w:tab w:leader="none" w:pos="2709" w:val="left"/>
        </w:tabs>
        <w:numPr>
          <w:ilvl w:val="3"/>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06" w:lineRule="exact"/>
        <w:rPr>
          <w:rFonts w:ascii="Times New Roman" w:cs="Times New Roman" w:eastAsia="Times New Roman" w:hAnsi="Times New Roman"/>
          <w:sz w:val="18"/>
          <w:szCs w:val="18"/>
          <w:b w:val="1"/>
          <w:bCs w:val="1"/>
          <w:color w:val="auto"/>
        </w:rPr>
      </w:pPr>
    </w:p>
    <w:p>
      <w:pPr>
        <w:jc w:val="both"/>
        <w:ind w:left="1620" w:right="419" w:firstLine="360"/>
        <w:spacing w:after="0" w:line="243" w:lineRule="auto"/>
        <w:tabs>
          <w:tab w:leader="none" w:pos="2472"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13" w:lineRule="exact"/>
        <w:rPr>
          <w:rFonts w:ascii="Times New Roman" w:cs="Times New Roman" w:eastAsia="Times New Roman" w:hAnsi="Times New Roman"/>
          <w:sz w:val="18"/>
          <w:szCs w:val="18"/>
          <w:b w:val="1"/>
          <w:bCs w:val="1"/>
          <w:color w:val="auto"/>
        </w:rPr>
      </w:pPr>
    </w:p>
    <w:p>
      <w:pPr>
        <w:jc w:val="both"/>
        <w:ind w:left="1620" w:right="419" w:firstLine="360"/>
        <w:spacing w:after="0" w:line="247" w:lineRule="auto"/>
        <w:tabs>
          <w:tab w:leader="none" w:pos="2371"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written agreement between a Participant and the Company or an Affiliate, if a Participant’s Continuous Service terminates for any reason, (i) the Company may receive through a forfeiture condition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6" w:lineRule="auto"/>
        <w:rPr>
          <w:sz w:val="20"/>
          <w:szCs w:val="20"/>
          <w:color w:val="auto"/>
        </w:rPr>
      </w:pPr>
      <w:r>
        <w:rPr>
          <w:rFonts w:ascii="Times New Roman" w:cs="Times New Roman" w:eastAsia="Times New Roman" w:hAnsi="Times New Roman"/>
          <w:sz w:val="18"/>
          <w:szCs w:val="18"/>
          <w:color w:val="auto"/>
        </w:rPr>
        <w:t>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02" w:lineRule="exact"/>
        <w:rPr>
          <w:sz w:val="20"/>
          <w:szCs w:val="20"/>
          <w:color w:val="auto"/>
        </w:rPr>
      </w:pPr>
    </w:p>
    <w:p>
      <w:pPr>
        <w:jc w:val="both"/>
        <w:ind w:left="1620" w:right="419" w:firstLine="360"/>
        <w:spacing w:after="0" w:line="265" w:lineRule="auto"/>
        <w:tabs>
          <w:tab w:leader="none" w:pos="2432"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Subject to Section 3(b)(v), dividends or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may be paid or credited, as applicable, with respect to any shares of Common Stock subject to a Restricted Stock Award or RSU Award, as determined by the Board and specified in the Award Agreement.</w:t>
      </w:r>
    </w:p>
    <w:p>
      <w:pPr>
        <w:spacing w:after="0" w:line="326" w:lineRule="exact"/>
        <w:rPr>
          <w:rFonts w:ascii="Times New Roman" w:cs="Times New Roman" w:eastAsia="Times New Roman" w:hAnsi="Times New Roman"/>
          <w:sz w:val="18"/>
          <w:szCs w:val="18"/>
          <w:b w:val="1"/>
          <w:bCs w:val="1"/>
          <w:color w:val="auto"/>
        </w:rPr>
      </w:pPr>
    </w:p>
    <w:p>
      <w:pPr>
        <w:jc w:val="both"/>
        <w:ind w:left="1620" w:right="419" w:firstLine="360"/>
        <w:spacing w:after="0" w:line="260" w:lineRule="auto"/>
        <w:tabs>
          <w:tab w:leader="none" w:pos="2452"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331" w:lineRule="exact"/>
        <w:rPr>
          <w:rFonts w:ascii="Times New Roman" w:cs="Times New Roman" w:eastAsia="Times New Roman" w:hAnsi="Times New Roman"/>
          <w:sz w:val="18"/>
          <w:szCs w:val="18"/>
          <w:b w:val="1"/>
          <w:bCs w:val="1"/>
          <w:color w:val="auto"/>
        </w:rPr>
      </w:pPr>
    </w:p>
    <w:p>
      <w:pPr>
        <w:jc w:val="both"/>
        <w:ind w:left="1260" w:right="419" w:firstLine="360"/>
        <w:spacing w:after="0" w:line="262" w:lineRule="auto"/>
        <w:tabs>
          <w:tab w:leader="none" w:pos="2028"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the Performance Goals to be achieved during the Performance Period, the other terms and conditions of such Award, and the measure of whether and to what degree such Performance Goals have been attained will be determined by the Board.</w:t>
      </w:r>
    </w:p>
    <w:p>
      <w:pPr>
        <w:spacing w:after="0" w:line="95"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1995"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7"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jc w:val="both"/>
        <w:ind w:left="1260" w:right="419" w:firstLine="360"/>
        <w:spacing w:after="0" w:line="254" w:lineRule="auto"/>
        <w:tabs>
          <w:tab w:leader="none" w:pos="2099"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appropriately and 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04" w:lineRule="exact"/>
        <w:rPr>
          <w:rFonts w:ascii="Times New Roman" w:cs="Times New Roman" w:eastAsia="Times New Roman" w:hAnsi="Times New Roman"/>
          <w:sz w:val="18"/>
          <w:szCs w:val="18"/>
          <w:b w:val="1"/>
          <w:bCs w:val="1"/>
          <w:color w:val="auto"/>
        </w:rPr>
      </w:pPr>
    </w:p>
    <w:p>
      <w:pPr>
        <w:jc w:val="both"/>
        <w:ind w:left="1260" w:right="419" w:firstLine="360"/>
        <w:spacing w:after="0" w:line="254" w:lineRule="auto"/>
        <w:tabs>
          <w:tab w:leader="none" w:pos="1974"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46" w:lineRule="auto"/>
        <w:tabs>
          <w:tab w:leader="none" w:pos="195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96" w:lineRule="exact"/>
        <w:rPr>
          <w:rFonts w:ascii="Times New Roman" w:cs="Times New Roman" w:eastAsia="Times New Roman" w:hAnsi="Times New Roman"/>
          <w:sz w:val="18"/>
          <w:szCs w:val="18"/>
          <w:b w:val="1"/>
          <w:bCs w:val="1"/>
          <w:color w:val="auto"/>
        </w:rPr>
      </w:pPr>
    </w:p>
    <w:p>
      <w:pPr>
        <w:jc w:val="both"/>
        <w:ind w:left="1620" w:right="419" w:firstLine="360"/>
        <w:spacing w:after="0" w:line="238" w:lineRule="auto"/>
        <w:tabs>
          <w:tab w:leader="none" w:pos="2298"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18" w:lineRule="exact"/>
        <w:rPr>
          <w:rFonts w:ascii="Times New Roman" w:cs="Times New Roman" w:eastAsia="Times New Roman" w:hAnsi="Times New Roman"/>
          <w:sz w:val="18"/>
          <w:szCs w:val="18"/>
          <w:b w:val="1"/>
          <w:bCs w:val="1"/>
          <w:color w:val="auto"/>
        </w:rPr>
      </w:pPr>
    </w:p>
    <w:p>
      <w:pPr>
        <w:jc w:val="both"/>
        <w:ind w:left="1620" w:right="419" w:firstLine="360"/>
        <w:spacing w:after="0" w:line="236" w:lineRule="auto"/>
        <w:tabs>
          <w:tab w:leader="none" w:pos="2358"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27" w:lineRule="exact"/>
        <w:rPr>
          <w:rFonts w:ascii="Times New Roman" w:cs="Times New Roman" w:eastAsia="Times New Roman" w:hAnsi="Times New Roman"/>
          <w:sz w:val="18"/>
          <w:szCs w:val="18"/>
          <w:b w:val="1"/>
          <w:bCs w:val="1"/>
          <w:color w:val="auto"/>
        </w:rPr>
      </w:pPr>
    </w:p>
    <w:p>
      <w:pPr>
        <w:jc w:val="both"/>
        <w:ind w:left="1620" w:right="419" w:firstLine="360"/>
        <w:spacing w:after="0" w:line="239" w:lineRule="auto"/>
        <w:tabs>
          <w:tab w:leader="none" w:pos="2485"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06" w:lineRule="exact"/>
        <w:rPr>
          <w:rFonts w:ascii="Times New Roman" w:cs="Times New Roman" w:eastAsia="Times New Roman" w:hAnsi="Times New Roman"/>
          <w:sz w:val="18"/>
          <w:szCs w:val="18"/>
          <w:b w:val="1"/>
          <w:bCs w:val="1"/>
          <w:color w:val="auto"/>
        </w:rPr>
      </w:pPr>
    </w:p>
    <w:p>
      <w:pPr>
        <w:jc w:val="both"/>
        <w:ind w:left="1620" w:right="419" w:firstLine="360"/>
        <w:spacing w:after="0"/>
        <w:tabs>
          <w:tab w:leader="none" w:pos="2438"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47" w:lineRule="auto"/>
        <w:tabs>
          <w:tab w:leader="none" w:pos="200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 Participant will be deemed to have agreed that the Award will be subject to the terms of any agreement governing a Corporate Transaction involving the Company, including, without limitation, a provision for the</w:t>
      </w: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appointment of a stockholder representative that is authorized to act on the Participant’s behalf with respect to any escrow, indemnities and any contingent consideration.</w:t>
      </w:r>
    </w:p>
    <w:p>
      <w:pPr>
        <w:spacing w:after="0" w:line="77" w:lineRule="exact"/>
        <w:rPr>
          <w:sz w:val="20"/>
          <w:szCs w:val="20"/>
          <w:color w:val="auto"/>
        </w:rPr>
      </w:pPr>
    </w:p>
    <w:p>
      <w:pPr>
        <w:jc w:val="both"/>
        <w:ind w:left="1260" w:right="419" w:firstLine="360"/>
        <w:spacing w:after="0" w:line="239" w:lineRule="auto"/>
        <w:tabs>
          <w:tab w:leader="none" w:pos="195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5" w:lineRule="exact"/>
        <w:rPr>
          <w:rFonts w:ascii="Times New Roman" w:cs="Times New Roman" w:eastAsia="Times New Roman" w:hAnsi="Times New Roman"/>
          <w:sz w:val="18"/>
          <w:szCs w:val="18"/>
          <w:b w:val="1"/>
          <w:bCs w:val="1"/>
          <w:color w:val="auto"/>
        </w:rPr>
      </w:pPr>
    </w:p>
    <w:p>
      <w:pPr>
        <w:ind w:left="1540" w:hanging="280"/>
        <w:spacing w:after="0"/>
        <w:tabs>
          <w:tab w:leader="none" w:pos="1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171"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64"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to a Committee or Committees, as provided in subsection (c) below.</w:t>
      </w:r>
    </w:p>
    <w:p>
      <w:pPr>
        <w:spacing w:after="0" w:line="72"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01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provisions of the Plan:</w:t>
      </w:r>
    </w:p>
    <w:p>
      <w:pPr>
        <w:spacing w:after="0" w:line="90" w:lineRule="exact"/>
        <w:rPr>
          <w:rFonts w:ascii="Times New Roman" w:cs="Times New Roman" w:eastAsia="Times New Roman" w:hAnsi="Times New Roman"/>
          <w:sz w:val="18"/>
          <w:szCs w:val="18"/>
          <w:b w:val="1"/>
          <w:bCs w:val="1"/>
          <w:color w:val="auto"/>
        </w:rPr>
      </w:pPr>
    </w:p>
    <w:p>
      <w:pPr>
        <w:jc w:val="both"/>
        <w:ind w:left="1620" w:right="419" w:firstLine="360"/>
        <w:spacing w:after="0"/>
        <w:tabs>
          <w:tab w:leader="none" w:pos="2377"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324" w:lineRule="exact"/>
        <w:rPr>
          <w:rFonts w:ascii="Times New Roman" w:cs="Times New Roman" w:eastAsia="Times New Roman" w:hAnsi="Times New Roman"/>
          <w:sz w:val="18"/>
          <w:szCs w:val="18"/>
          <w:b w:val="1"/>
          <w:bCs w:val="1"/>
          <w:color w:val="auto"/>
        </w:rPr>
      </w:pPr>
    </w:p>
    <w:p>
      <w:pPr>
        <w:jc w:val="both"/>
        <w:ind w:left="1620" w:right="419" w:firstLine="360"/>
        <w:spacing w:after="0" w:line="245" w:lineRule="auto"/>
        <w:tabs>
          <w:tab w:leader="none" w:pos="2364"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99" w:lineRule="exact"/>
        <w:rPr>
          <w:rFonts w:ascii="Times New Roman" w:cs="Times New Roman" w:eastAsia="Times New Roman" w:hAnsi="Times New Roman"/>
          <w:sz w:val="18"/>
          <w:szCs w:val="18"/>
          <w:b w:val="1"/>
          <w:bCs w:val="1"/>
          <w:color w:val="auto"/>
        </w:rPr>
      </w:pPr>
    </w:p>
    <w:p>
      <w:pPr>
        <w:ind w:left="2380" w:hanging="400"/>
        <w:spacing w:after="0"/>
        <w:tabs>
          <w:tab w:leader="none" w:pos="2380"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57"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386"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09" w:lineRule="exact"/>
        <w:rPr>
          <w:rFonts w:ascii="Times New Roman" w:cs="Times New Roman" w:eastAsia="Times New Roman" w:hAnsi="Times New Roman"/>
          <w:sz w:val="18"/>
          <w:szCs w:val="18"/>
          <w:b w:val="1"/>
          <w:bCs w:val="1"/>
          <w:color w:val="auto"/>
        </w:rPr>
      </w:pPr>
    </w:p>
    <w:p>
      <w:pPr>
        <w:jc w:val="both"/>
        <w:ind w:left="1620" w:right="419" w:firstLine="360"/>
        <w:spacing w:after="0" w:line="241" w:lineRule="auto"/>
        <w:tabs>
          <w:tab w:leader="none" w:pos="2334"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310"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391"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09" w:lineRule="exact"/>
        <w:rPr>
          <w:rFonts w:ascii="Times New Roman" w:cs="Times New Roman" w:eastAsia="Times New Roman" w:hAnsi="Times New Roman"/>
          <w:sz w:val="18"/>
          <w:szCs w:val="18"/>
          <w:b w:val="1"/>
          <w:bCs w:val="1"/>
          <w:color w:val="auto"/>
        </w:rPr>
      </w:pPr>
    </w:p>
    <w:p>
      <w:pPr>
        <w:jc w:val="both"/>
        <w:ind w:left="1620" w:right="419" w:firstLine="360"/>
        <w:spacing w:after="0" w:line="242" w:lineRule="auto"/>
        <w:tabs>
          <w:tab w:leader="none" w:pos="2541"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17" w:lineRule="exact"/>
        <w:rPr>
          <w:rFonts w:ascii="Times New Roman" w:cs="Times New Roman" w:eastAsia="Times New Roman" w:hAnsi="Times New Roman"/>
          <w:sz w:val="18"/>
          <w:szCs w:val="18"/>
          <w:b w:val="1"/>
          <w:bCs w:val="1"/>
          <w:color w:val="auto"/>
        </w:rPr>
      </w:pPr>
    </w:p>
    <w:p>
      <w:pPr>
        <w:ind w:left="2460" w:hanging="480"/>
        <w:spacing w:after="0"/>
        <w:tabs>
          <w:tab w:leader="none" w:pos="2460"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44" w:lineRule="exact"/>
        <w:rPr>
          <w:rFonts w:ascii="Times New Roman" w:cs="Times New Roman" w:eastAsia="Times New Roman" w:hAnsi="Times New Roman"/>
          <w:sz w:val="18"/>
          <w:szCs w:val="18"/>
          <w:b w:val="1"/>
          <w:bCs w:val="1"/>
          <w:color w:val="auto"/>
        </w:rPr>
      </w:pPr>
    </w:p>
    <w:p>
      <w:pPr>
        <w:ind w:left="1620" w:right="419" w:firstLine="360"/>
        <w:spacing w:after="0" w:line="266" w:lineRule="auto"/>
        <w:tabs>
          <w:tab w:leader="none" w:pos="2372"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45" w:lineRule="auto"/>
        <w:rPr>
          <w:sz w:val="20"/>
          <w:szCs w:val="20"/>
          <w:color w:val="auto"/>
        </w:rPr>
      </w:pPr>
      <w:r>
        <w:rPr>
          <w:rFonts w:ascii="Times New Roman" w:cs="Times New Roman" w:eastAsia="Times New Roman" w:hAnsi="Times New Roman"/>
          <w:sz w:val="18"/>
          <w:szCs w:val="18"/>
          <w:color w:val="auto"/>
        </w:rPr>
        <w:t xml:space="preserve">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00" w:lineRule="exact"/>
        <w:rPr>
          <w:sz w:val="20"/>
          <w:szCs w:val="20"/>
          <w:color w:val="auto"/>
        </w:rPr>
      </w:pPr>
    </w:p>
    <w:p>
      <w:pPr>
        <w:jc w:val="both"/>
        <w:ind w:left="1620" w:right="419" w:firstLine="360"/>
        <w:spacing w:after="0" w:line="250" w:lineRule="auto"/>
        <w:tabs>
          <w:tab w:leader="none" w:pos="2343"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09" w:lineRule="exact"/>
        <w:rPr>
          <w:rFonts w:ascii="Times New Roman" w:cs="Times New Roman" w:eastAsia="Times New Roman" w:hAnsi="Times New Roman"/>
          <w:sz w:val="18"/>
          <w:szCs w:val="18"/>
          <w:b w:val="1"/>
          <w:bCs w:val="1"/>
          <w:color w:val="auto"/>
        </w:rPr>
      </w:pPr>
    </w:p>
    <w:p>
      <w:pPr>
        <w:jc w:val="both"/>
        <w:ind w:left="1620" w:right="419" w:firstLine="360"/>
        <w:spacing w:after="0" w:line="242" w:lineRule="auto"/>
        <w:tabs>
          <w:tab w:leader="none" w:pos="2489"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13"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44" w:lineRule="exact"/>
        <w:rPr>
          <w:rFonts w:ascii="Times New Roman" w:cs="Times New Roman" w:eastAsia="Times New Roman" w:hAnsi="Times New Roman"/>
          <w:sz w:val="18"/>
          <w:szCs w:val="18"/>
          <w:b w:val="1"/>
          <w:bCs w:val="1"/>
          <w:color w:val="auto"/>
        </w:rPr>
      </w:pPr>
    </w:p>
    <w:p>
      <w:pPr>
        <w:jc w:val="both"/>
        <w:ind w:left="1620" w:right="419" w:firstLine="360"/>
        <w:spacing w:after="0" w:line="238" w:lineRule="auto"/>
        <w:tabs>
          <w:tab w:leader="none" w:pos="2406"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15" w:lineRule="exact"/>
        <w:rPr>
          <w:rFonts w:ascii="Times New Roman" w:cs="Times New Roman" w:eastAsia="Times New Roman" w:hAnsi="Times New Roman"/>
          <w:sz w:val="18"/>
          <w:szCs w:val="18"/>
          <w:b w:val="1"/>
          <w:bCs w:val="1"/>
          <w:color w:val="auto"/>
        </w:rPr>
      </w:pPr>
    </w:p>
    <w:p>
      <w:pPr>
        <w:jc w:val="both"/>
        <w:ind w:left="1620" w:right="419" w:firstLine="360"/>
        <w:spacing w:after="0" w:line="242" w:lineRule="auto"/>
        <w:tabs>
          <w:tab w:leader="none" w:pos="2331"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5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any Committee in good faith will not be subject to review by any person and will be final, binding and conclusive on all persons.</w:t>
      </w:r>
    </w:p>
    <w:p>
      <w:pPr>
        <w:spacing w:after="0" w:line="90" w:lineRule="exact"/>
        <w:rPr>
          <w:rFonts w:ascii="Times New Roman" w:cs="Times New Roman" w:eastAsia="Times New Roman" w:hAnsi="Times New Roman"/>
          <w:sz w:val="18"/>
          <w:szCs w:val="18"/>
          <w:b w:val="1"/>
          <w:bCs w:val="1"/>
          <w:color w:val="auto"/>
        </w:rPr>
      </w:pPr>
    </w:p>
    <w:p>
      <w:pPr>
        <w:jc w:val="both"/>
        <w:ind w:left="1260" w:right="419" w:firstLine="360"/>
        <w:spacing w:after="0" w:line="243" w:lineRule="auto"/>
        <w:tabs>
          <w:tab w:leader="none" w:pos="204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Re-Grant of Awards</w:t>
      </w:r>
      <w:r>
        <w:rPr>
          <w:rFonts w:ascii="Times New Roman" w:cs="Times New Roman" w:eastAsia="Times New Roman" w:hAnsi="Times New Roman"/>
          <w:sz w:val="18"/>
          <w:szCs w:val="18"/>
          <w:color w:val="auto"/>
        </w:rPr>
        <w:t>. Neither the Board nor any Committee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13" w:lineRule="exact"/>
        <w:rPr>
          <w:rFonts w:ascii="Times New Roman" w:cs="Times New Roman" w:eastAsia="Times New Roman" w:hAnsi="Times New Roman"/>
          <w:sz w:val="18"/>
          <w:szCs w:val="18"/>
          <w:b w:val="1"/>
          <w:bCs w:val="1"/>
          <w:color w:val="auto"/>
        </w:rPr>
      </w:pPr>
    </w:p>
    <w:p>
      <w:pPr>
        <w:jc w:val="both"/>
        <w:ind w:left="1260" w:right="419" w:firstLine="360"/>
        <w:spacing w:after="0" w:line="238" w:lineRule="auto"/>
        <w:tabs>
          <w:tab w:leader="none" w:pos="195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0" w:hanging="280"/>
        <w:spacing w:after="0"/>
        <w:tabs>
          <w:tab w:leader="none" w:pos="1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08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19"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09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15"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7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52" w:lineRule="exact"/>
        <w:rPr>
          <w:rFonts w:ascii="Times New Roman" w:cs="Times New Roman" w:eastAsia="Times New Roman" w:hAnsi="Times New Roman"/>
          <w:sz w:val="18"/>
          <w:szCs w:val="18"/>
          <w:b w:val="1"/>
          <w:bCs w:val="1"/>
          <w:color w:val="auto"/>
        </w:rPr>
      </w:pPr>
    </w:p>
    <w:p>
      <w:pPr>
        <w:jc w:val="both"/>
        <w:ind w:left="1260" w:right="419" w:firstLine="360"/>
        <w:spacing w:after="0" w:line="243" w:lineRule="auto"/>
        <w:tabs>
          <w:tab w:leader="none" w:pos="2001"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13" w:lineRule="exact"/>
        <w:rPr>
          <w:sz w:val="20"/>
          <w:szCs w:val="20"/>
          <w:color w:val="auto"/>
        </w:rPr>
      </w:pPr>
    </w:p>
    <w:p>
      <w:pPr>
        <w:ind w:left="1900" w:hanging="280"/>
        <w:spacing w:after="0"/>
        <w:tabs>
          <w:tab w:leader="none" w:pos="19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1260" w:right="419" w:firstLine="360"/>
        <w:spacing w:after="0" w:line="271" w:lineRule="auto"/>
        <w:tabs>
          <w:tab w:leader="none" w:pos="199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reacquired Common Stock, including shares repurchased by the Company on the open market or otherwise.</w:t>
      </w:r>
    </w:p>
    <w:p>
      <w:pPr>
        <w:spacing w:after="0" w:line="72"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8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Awards will constitute general funds of the Company.</w:t>
      </w:r>
    </w:p>
    <w:p>
      <w:pPr>
        <w:spacing w:after="0" w:line="86" w:lineRule="exact"/>
        <w:rPr>
          <w:rFonts w:ascii="Times New Roman" w:cs="Times New Roman" w:eastAsia="Times New Roman" w:hAnsi="Times New Roman"/>
          <w:sz w:val="18"/>
          <w:szCs w:val="18"/>
          <w:b w:val="1"/>
          <w:bCs w:val="1"/>
          <w:color w:val="auto"/>
        </w:rPr>
      </w:pPr>
    </w:p>
    <w:p>
      <w:pPr>
        <w:jc w:val="both"/>
        <w:ind w:left="1260" w:right="419" w:firstLine="360"/>
        <w:spacing w:after="0" w:line="244" w:lineRule="auto"/>
        <w:tabs>
          <w:tab w:leader="none" w:pos="203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00" w:lineRule="exact"/>
        <w:rPr>
          <w:sz w:val="20"/>
          <w:szCs w:val="20"/>
          <w:color w:val="auto"/>
        </w:rPr>
      </w:pPr>
    </w:p>
    <w:p>
      <w:pPr>
        <w:jc w:val="both"/>
        <w:ind w:left="1260" w:right="419" w:firstLine="360"/>
        <w:spacing w:after="0" w:line="244" w:lineRule="auto"/>
        <w:tabs>
          <w:tab w:leader="none" w:pos="1974"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holder with respect to, any shares of Common Stock subject to such Award unless and until (i) such Participant has satisfied all requirements for exercise of the Award pursuant to its terms, if applicable, and</w:t>
      </w:r>
    </w:p>
    <w:p>
      <w:pPr>
        <w:ind w:left="1540" w:hanging="280"/>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Common Stock subject to such Award is reflected in the records of the Company.</w:t>
      </w:r>
    </w:p>
    <w:p>
      <w:pPr>
        <w:spacing w:after="0" w:line="120" w:lineRule="exact"/>
        <w:rPr>
          <w:rFonts w:ascii="Times New Roman" w:cs="Times New Roman" w:eastAsia="Times New Roman" w:hAnsi="Times New Roman"/>
          <w:sz w:val="18"/>
          <w:szCs w:val="18"/>
          <w:color w:val="auto"/>
        </w:rPr>
      </w:pPr>
    </w:p>
    <w:p>
      <w:pPr>
        <w:jc w:val="both"/>
        <w:ind w:left="1260" w:right="419" w:firstLine="360"/>
        <w:spacing w:after="0"/>
        <w:tabs>
          <w:tab w:leader="none" w:pos="1968"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w:t>
      </w:r>
    </w:p>
    <w:p>
      <w:pPr>
        <w:spacing w:after="0" w:line="1" w:lineRule="exact"/>
        <w:rPr>
          <w:rFonts w:ascii="Times New Roman" w:cs="Times New Roman" w:eastAsia="Times New Roman" w:hAnsi="Times New Roman"/>
          <w:sz w:val="18"/>
          <w:szCs w:val="18"/>
          <w:b w:val="1"/>
          <w:bCs w:val="1"/>
          <w:color w:val="auto"/>
        </w:rPr>
      </w:pPr>
    </w:p>
    <w:p>
      <w:pPr>
        <w:jc w:val="both"/>
        <w:ind w:left="1260" w:right="419"/>
        <w:spacing w:after="0" w:line="234" w:lineRule="auto"/>
        <w:tabs>
          <w:tab w:leader="none" w:pos="15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an Employee with or without notice and with or without cause, (ii) the service of a Consultant pursuant to the terms of such Consultant’s agreement with the Company or an Affiliate, or</w:t>
      </w:r>
    </w:p>
    <w:p>
      <w:pPr>
        <w:spacing w:after="0" w:line="1" w:lineRule="exact"/>
        <w:rPr>
          <w:rFonts w:ascii="Times New Roman" w:cs="Times New Roman" w:eastAsia="Times New Roman" w:hAnsi="Times New Roman"/>
          <w:sz w:val="18"/>
          <w:szCs w:val="18"/>
          <w:color w:val="auto"/>
        </w:rPr>
      </w:pPr>
    </w:p>
    <w:p>
      <w:pPr>
        <w:jc w:val="both"/>
        <w:ind w:left="1260" w:right="419"/>
        <w:spacing w:after="0" w:line="236" w:lineRule="auto"/>
        <w:tabs>
          <w:tab w:leader="none" w:pos="16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6" w:lineRule="exact"/>
        <w:rPr>
          <w:rFonts w:ascii="Times New Roman" w:cs="Times New Roman" w:eastAsia="Times New Roman" w:hAnsi="Times New Roman"/>
          <w:sz w:val="18"/>
          <w:szCs w:val="18"/>
          <w:color w:val="auto"/>
        </w:rPr>
      </w:pPr>
    </w:p>
    <w:p>
      <w:pPr>
        <w:jc w:val="both"/>
        <w:ind w:left="1260" w:right="419" w:firstLine="360"/>
        <w:spacing w:after="0"/>
        <w:tabs>
          <w:tab w:leader="none" w:pos="1934"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w:t>
      </w:r>
    </w:p>
    <w:p>
      <w:pPr>
        <w:spacing w:after="0" w:line="1" w:lineRule="exact"/>
        <w:rPr>
          <w:rFonts w:ascii="Times New Roman" w:cs="Times New Roman" w:eastAsia="Times New Roman" w:hAnsi="Times New Roman"/>
          <w:sz w:val="18"/>
          <w:szCs w:val="18"/>
          <w:b w:val="1"/>
          <w:bCs w:val="1"/>
          <w:color w:val="auto"/>
        </w:rPr>
      </w:pPr>
    </w:p>
    <w:p>
      <w:pPr>
        <w:jc w:val="both"/>
        <w:ind w:left="1260" w:right="419"/>
        <w:spacing w:after="0" w:line="234" w:lineRule="auto"/>
        <w:tabs>
          <w:tab w:leader="none" w:pos="15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corresponding reduction in the number of shares or cash amount subject to any portion of such Award that is scheduled to vest or become payable after the date of such change in time commitment, and</w:t>
      </w:r>
    </w:p>
    <w:p>
      <w:pPr>
        <w:spacing w:after="0" w:line="1" w:lineRule="exact"/>
        <w:rPr>
          <w:rFonts w:ascii="Times New Roman" w:cs="Times New Roman" w:eastAsia="Times New Roman" w:hAnsi="Times New Roman"/>
          <w:sz w:val="18"/>
          <w:szCs w:val="18"/>
          <w:color w:val="auto"/>
        </w:rPr>
      </w:pPr>
    </w:p>
    <w:p>
      <w:pPr>
        <w:jc w:val="both"/>
        <w:ind w:left="1260" w:right="419"/>
        <w:spacing w:after="0" w:line="239" w:lineRule="auto"/>
        <w:tabs>
          <w:tab w:leader="none" w:pos="15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00" w:lineRule="exact"/>
        <w:rPr>
          <w:rFonts w:ascii="Times New Roman" w:cs="Times New Roman" w:eastAsia="Times New Roman" w:hAnsi="Times New Roman"/>
          <w:sz w:val="18"/>
          <w:szCs w:val="18"/>
          <w:color w:val="auto"/>
        </w:rPr>
      </w:pPr>
    </w:p>
    <w:p>
      <w:pPr>
        <w:jc w:val="both"/>
        <w:ind w:left="1260" w:right="419" w:firstLine="360"/>
        <w:spacing w:after="0" w:line="244" w:lineRule="auto"/>
        <w:tabs>
          <w:tab w:leader="none" w:pos="2018"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319"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069"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19" w:lineRule="exact"/>
        <w:rPr>
          <w:rFonts w:ascii="Times New Roman" w:cs="Times New Roman" w:eastAsia="Times New Roman" w:hAnsi="Times New Roman"/>
          <w:sz w:val="18"/>
          <w:szCs w:val="18"/>
          <w:b w:val="1"/>
          <w:bCs w:val="1"/>
          <w:color w:val="auto"/>
        </w:rPr>
      </w:pPr>
    </w:p>
    <w:p>
      <w:pPr>
        <w:jc w:val="both"/>
        <w:ind w:left="1260" w:right="419" w:firstLine="360"/>
        <w:spacing w:after="0" w:line="242" w:lineRule="auto"/>
        <w:tabs>
          <w:tab w:leader="none" w:pos="2059"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319" w:lineRule="exact"/>
        <w:rPr>
          <w:sz w:val="20"/>
          <w:szCs w:val="20"/>
          <w:color w:val="auto"/>
        </w:rPr>
      </w:pPr>
    </w:p>
    <w:p>
      <w:pPr>
        <w:jc w:val="both"/>
        <w:ind w:left="1260" w:right="419" w:firstLine="360"/>
        <w:spacing w:after="0" w:line="259" w:lineRule="auto"/>
        <w:tabs>
          <w:tab w:leader="none" w:pos="198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7" w:lineRule="auto"/>
        <w:tabs>
          <w:tab w:leader="none" w:pos="198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14" w:lineRule="exact"/>
        <w:rPr>
          <w:rFonts w:ascii="Times New Roman" w:cs="Times New Roman" w:eastAsia="Times New Roman" w:hAnsi="Times New Roman"/>
          <w:sz w:val="18"/>
          <w:szCs w:val="18"/>
          <w:b w:val="1"/>
          <w:bCs w:val="1"/>
          <w:color w:val="auto"/>
        </w:rPr>
      </w:pPr>
    </w:p>
    <w:p>
      <w:pPr>
        <w:jc w:val="both"/>
        <w:ind w:left="1260" w:right="419" w:firstLine="360"/>
        <w:spacing w:after="0" w:line="258" w:lineRule="auto"/>
        <w:tabs>
          <w:tab w:leader="none" w:pos="200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318" w:lineRule="exact"/>
        <w:rPr>
          <w:rFonts w:ascii="Times New Roman" w:cs="Times New Roman" w:eastAsia="Times New Roman" w:hAnsi="Times New Roman"/>
          <w:sz w:val="18"/>
          <w:szCs w:val="18"/>
          <w:b w:val="1"/>
          <w:bCs w:val="1"/>
          <w:color w:val="auto"/>
        </w:rPr>
      </w:pPr>
    </w:p>
    <w:p>
      <w:pPr>
        <w:jc w:val="both"/>
        <w:ind w:left="1260" w:right="419" w:firstLine="360"/>
        <w:spacing w:after="0" w:line="259" w:lineRule="auto"/>
        <w:tabs>
          <w:tab w:leader="none" w:pos="209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4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343" w:lineRule="exact"/>
        <w:rPr>
          <w:rFonts w:ascii="Times New Roman" w:cs="Times New Roman" w:eastAsia="Times New Roman" w:hAnsi="Times New Roman"/>
          <w:sz w:val="18"/>
          <w:szCs w:val="18"/>
          <w:b w:val="1"/>
          <w:bCs w:val="1"/>
          <w:color w:val="auto"/>
        </w:rPr>
      </w:pPr>
    </w:p>
    <w:p>
      <w:pPr>
        <w:jc w:val="both"/>
        <w:ind w:left="1260" w:right="419" w:firstLine="360"/>
        <w:spacing w:after="0" w:line="271" w:lineRule="auto"/>
        <w:tabs>
          <w:tab w:leader="none" w:pos="204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internal laws of the State of Delaware, without regard to conflict of law principles that would result in any application of any law other than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3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01" w:lineRule="exact"/>
        <w:rPr>
          <w:rFonts w:ascii="Times New Roman" w:cs="Times New Roman" w:eastAsia="Times New Roman" w:hAnsi="Times New Roman"/>
          <w:sz w:val="18"/>
          <w:szCs w:val="18"/>
          <w:b w:val="1"/>
          <w:bCs w:val="1"/>
          <w:color w:val="auto"/>
        </w:rPr>
      </w:pPr>
    </w:p>
    <w:p>
      <w:pPr>
        <w:ind w:left="1600" w:hanging="340"/>
        <w:spacing w:after="0"/>
        <w:tabs>
          <w:tab w:leader="none" w:pos="16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99" w:lineRule="exact"/>
        <w:rPr>
          <w:sz w:val="20"/>
          <w:szCs w:val="20"/>
          <w:color w:val="auto"/>
        </w:rPr>
      </w:pPr>
    </w:p>
    <w:p>
      <w:pPr>
        <w:ind w:left="1620" w:hanging="360"/>
        <w:spacing w:after="0"/>
        <w:tabs>
          <w:tab w:leader="none" w:pos="16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w:t>
      </w:r>
    </w:p>
    <w:p>
      <w:pPr>
        <w:spacing w:after="0" w:line="105" w:lineRule="exact"/>
        <w:rPr>
          <w:sz w:val="20"/>
          <w:szCs w:val="20"/>
          <w:color w:val="auto"/>
        </w:rPr>
      </w:pPr>
    </w:p>
    <w:p>
      <w:pPr>
        <w:ind w:left="1620" w:hanging="360"/>
        <w:spacing w:after="0"/>
        <w:tabs>
          <w:tab w:leader="none" w:pos="16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54" w:lineRule="exact"/>
        <w:rPr>
          <w:sz w:val="20"/>
          <w:szCs w:val="20"/>
          <w:color w:val="auto"/>
        </w:rPr>
      </w:pPr>
    </w:p>
    <w:p>
      <w:pPr>
        <w:ind w:left="1260" w:right="419" w:firstLine="360"/>
        <w:spacing w:after="0" w:line="271" w:lineRule="auto"/>
        <w:tabs>
          <w:tab w:leader="none" w:pos="21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86" w:lineRule="exact"/>
        <w:rPr>
          <w:rFonts w:ascii="Times New Roman" w:cs="Times New Roman" w:eastAsia="Times New Roman" w:hAnsi="Times New Roman"/>
          <w:sz w:val="18"/>
          <w:szCs w:val="18"/>
          <w:b w:val="1"/>
          <w:bCs w:val="1"/>
          <w:color w:val="auto"/>
        </w:rPr>
      </w:pPr>
    </w:p>
    <w:p>
      <w:pPr>
        <w:ind w:left="1260" w:right="419" w:firstLine="360"/>
        <w:spacing w:after="0" w:line="255" w:lineRule="auto"/>
        <w:tabs>
          <w:tab w:leader="none" w:pos="211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320"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0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04" w:lineRule="exact"/>
        <w:rPr>
          <w:rFonts w:ascii="Times New Roman" w:cs="Times New Roman" w:eastAsia="Times New Roman" w:hAnsi="Times New Roman"/>
          <w:sz w:val="18"/>
          <w:szCs w:val="18"/>
          <w:b w:val="1"/>
          <w:bCs w:val="1"/>
          <w:color w:val="auto"/>
        </w:rPr>
      </w:pPr>
    </w:p>
    <w:p>
      <w:pPr>
        <w:jc w:val="both"/>
        <w:ind w:left="1260" w:right="419" w:firstLine="360"/>
        <w:spacing w:after="0" w:line="242" w:lineRule="auto"/>
        <w:tabs>
          <w:tab w:leader="none" w:pos="198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196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90"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194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09"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1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39" w:lineRule="auto"/>
        <w:tabs>
          <w:tab w:leader="none" w:pos="205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2" w:lineRule="exact"/>
        <w:rPr>
          <w:rFonts w:ascii="Times New Roman" w:cs="Times New Roman" w:eastAsia="Times New Roman" w:hAnsi="Times New Roman"/>
          <w:sz w:val="18"/>
          <w:szCs w:val="18"/>
          <w:b w:val="1"/>
          <w:bCs w:val="1"/>
          <w:color w:val="auto"/>
        </w:rPr>
      </w:pPr>
    </w:p>
    <w:p>
      <w:pPr>
        <w:jc w:val="both"/>
        <w:ind w:left="1260" w:right="419" w:firstLine="360"/>
        <w:spacing w:after="0" w:line="237" w:lineRule="auto"/>
        <w:tabs>
          <w:tab w:leader="none" w:pos="196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23" w:lineRule="exact"/>
        <w:rPr>
          <w:rFonts w:ascii="Times New Roman" w:cs="Times New Roman" w:eastAsia="Times New Roman" w:hAnsi="Times New Roman"/>
          <w:sz w:val="18"/>
          <w:szCs w:val="18"/>
          <w:b w:val="1"/>
          <w:bCs w:val="1"/>
          <w:color w:val="auto"/>
        </w:rPr>
      </w:pPr>
    </w:p>
    <w:p>
      <w:pPr>
        <w:jc w:val="both"/>
        <w:ind w:left="1260" w:right="419" w:firstLine="360"/>
        <w:spacing w:after="0" w:line="246" w:lineRule="auto"/>
        <w:tabs>
          <w:tab w:leader="none" w:pos="197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13" w:lineRule="exact"/>
        <w:rPr>
          <w:rFonts w:ascii="Times New Roman" w:cs="Times New Roman" w:eastAsia="Times New Roman" w:hAnsi="Times New Roman"/>
          <w:sz w:val="18"/>
          <w:szCs w:val="18"/>
          <w:b w:val="1"/>
          <w:bCs w:val="1"/>
          <w:color w:val="auto"/>
        </w:rPr>
      </w:pPr>
    </w:p>
    <w:p>
      <w:pPr>
        <w:jc w:val="both"/>
        <w:ind w:left="1620" w:right="419" w:firstLine="360"/>
        <w:spacing w:after="0"/>
        <w:tabs>
          <w:tab w:leader="none" w:pos="2391"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65" w:lineRule="exact"/>
        <w:rPr>
          <w:rFonts w:ascii="Times New Roman" w:cs="Times New Roman" w:eastAsia="Times New Roman" w:hAnsi="Times New Roman"/>
          <w:sz w:val="18"/>
          <w:szCs w:val="18"/>
          <w:b w:val="1"/>
          <w:bCs w:val="1"/>
          <w:color w:val="auto"/>
        </w:rPr>
      </w:pPr>
    </w:p>
    <w:p>
      <w:pPr>
        <w:jc w:val="both"/>
        <w:ind w:left="1620" w:right="419" w:firstLine="360"/>
        <w:spacing w:after="0" w:line="239" w:lineRule="auto"/>
        <w:tabs>
          <w:tab w:leader="none" w:pos="2406"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w:t>
      </w:r>
    </w:p>
    <w:p>
      <w:pPr>
        <w:spacing w:after="0" w:line="1" w:lineRule="exact"/>
        <w:rPr>
          <w:rFonts w:ascii="Times New Roman" w:cs="Times New Roman" w:eastAsia="Times New Roman" w:hAnsi="Times New Roman"/>
          <w:sz w:val="18"/>
          <w:szCs w:val="18"/>
          <w:b w:val="1"/>
          <w:bCs w:val="1"/>
          <w:color w:val="auto"/>
        </w:rPr>
      </w:pPr>
    </w:p>
    <w:p>
      <w:pPr>
        <w:jc w:val="both"/>
        <w:ind w:left="1620" w:right="41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317"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522"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tabs>
          <w:tab w:leader="none" w:pos="254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310" w:lineRule="exact"/>
        <w:rPr>
          <w:rFonts w:ascii="Times New Roman" w:cs="Times New Roman" w:eastAsia="Times New Roman" w:hAnsi="Times New Roman"/>
          <w:sz w:val="18"/>
          <w:szCs w:val="18"/>
          <w:b w:val="1"/>
          <w:bCs w:val="1"/>
          <w:color w:val="auto"/>
        </w:rPr>
      </w:pPr>
    </w:p>
    <w:p>
      <w:pPr>
        <w:jc w:val="both"/>
        <w:ind w:left="1620" w:right="419" w:firstLine="360"/>
        <w:spacing w:after="0" w:line="241" w:lineRule="auto"/>
        <w:tabs>
          <w:tab w:leader="none" w:pos="234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16" w:lineRule="exact"/>
        <w:rPr>
          <w:sz w:val="20"/>
          <w:szCs w:val="20"/>
          <w:color w:val="auto"/>
        </w:rPr>
      </w:pPr>
    </w:p>
    <w:p>
      <w:pPr>
        <w:jc w:val="both"/>
        <w:ind w:left="1620" w:right="419"/>
        <w:spacing w:after="0"/>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13" w:lineRule="exact"/>
        <w:rPr>
          <w:sz w:val="20"/>
          <w:szCs w:val="20"/>
          <w:color w:val="auto"/>
        </w:rPr>
      </w:pPr>
    </w:p>
    <w:p>
      <w:pPr>
        <w:ind w:left="1260" w:right="419" w:firstLine="360"/>
        <w:spacing w:after="0" w:line="271" w:lineRule="auto"/>
        <w:tabs>
          <w:tab w:leader="none" w:pos="213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72"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6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86" w:lineRule="exact"/>
        <w:rPr>
          <w:rFonts w:ascii="Times New Roman" w:cs="Times New Roman" w:eastAsia="Times New Roman" w:hAnsi="Times New Roman"/>
          <w:sz w:val="18"/>
          <w:szCs w:val="18"/>
          <w:b w:val="1"/>
          <w:bCs w:val="1"/>
          <w:color w:val="auto"/>
        </w:rPr>
      </w:pPr>
    </w:p>
    <w:p>
      <w:pPr>
        <w:ind w:left="2020" w:hanging="400"/>
        <w:spacing w:after="0"/>
        <w:tabs>
          <w:tab w:leader="none" w:pos="2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57"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Marker Therapeutics, Inc.,</w:t>
      </w:r>
      <w:r>
        <w:rPr>
          <w:rFonts w:ascii="Times New Roman" w:cs="Times New Roman" w:eastAsia="Times New Roman" w:hAnsi="Times New Roman"/>
          <w:sz w:val="18"/>
          <w:szCs w:val="18"/>
          <w:color w:val="auto"/>
        </w:rPr>
        <w:t xml:space="preserve"> a Delaware corporation.</w:t>
      </w:r>
    </w:p>
    <w:p>
      <w:pPr>
        <w:spacing w:after="0" w:line="144"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1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09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315" w:lineRule="exact"/>
        <w:rPr>
          <w:sz w:val="20"/>
          <w:szCs w:val="20"/>
          <w:color w:val="auto"/>
        </w:rPr>
      </w:pPr>
    </w:p>
    <w:p>
      <w:pPr>
        <w:ind w:left="1260" w:right="419" w:firstLine="360"/>
        <w:spacing w:after="0" w:line="286" w:lineRule="auto"/>
        <w:tabs>
          <w:tab w:leader="none" w:pos="199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91" w:lineRule="exact"/>
        <w:rPr>
          <w:rFonts w:ascii="Times New Roman" w:cs="Times New Roman" w:eastAsia="Times New Roman" w:hAnsi="Times New Roman"/>
          <w:sz w:val="18"/>
          <w:szCs w:val="18"/>
          <w:b w:val="1"/>
          <w:bCs w:val="1"/>
          <w:color w:val="auto"/>
        </w:rPr>
      </w:pPr>
    </w:p>
    <w:p>
      <w:pPr>
        <w:ind w:left="1620" w:right="419" w:firstLine="360"/>
        <w:spacing w:after="0" w:line="282" w:lineRule="auto"/>
        <w:tabs>
          <w:tab w:leader="none" w:pos="238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 Subsidiaries;</w:t>
      </w:r>
    </w:p>
    <w:p>
      <w:pPr>
        <w:spacing w:after="0" w:line="94" w:lineRule="exact"/>
        <w:rPr>
          <w:rFonts w:ascii="Times New Roman" w:cs="Times New Roman" w:eastAsia="Times New Roman" w:hAnsi="Times New Roman"/>
          <w:sz w:val="18"/>
          <w:szCs w:val="18"/>
          <w:b w:val="1"/>
          <w:bCs w:val="1"/>
          <w:color w:val="auto"/>
        </w:rPr>
      </w:pPr>
    </w:p>
    <w:p>
      <w:pPr>
        <w:ind w:left="2340" w:hanging="360"/>
        <w:spacing w:after="0"/>
        <w:tabs>
          <w:tab w:leader="none" w:pos="2340"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44" w:lineRule="exact"/>
        <w:rPr>
          <w:rFonts w:ascii="Times New Roman" w:cs="Times New Roman" w:eastAsia="Times New Roman" w:hAnsi="Times New Roman"/>
          <w:sz w:val="18"/>
          <w:szCs w:val="18"/>
          <w:b w:val="1"/>
          <w:bCs w:val="1"/>
          <w:color w:val="auto"/>
        </w:rPr>
      </w:pPr>
    </w:p>
    <w:p>
      <w:pPr>
        <w:ind w:left="1620" w:right="419" w:firstLine="360"/>
        <w:spacing w:after="0" w:line="282" w:lineRule="auto"/>
        <w:tabs>
          <w:tab w:leader="none" w:pos="2493"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94" w:lineRule="exact"/>
        <w:rPr>
          <w:rFonts w:ascii="Times New Roman" w:cs="Times New Roman" w:eastAsia="Times New Roman" w:hAnsi="Times New Roman"/>
          <w:sz w:val="18"/>
          <w:szCs w:val="18"/>
          <w:b w:val="1"/>
          <w:bCs w:val="1"/>
          <w:color w:val="auto"/>
        </w:rPr>
      </w:pPr>
    </w:p>
    <w:p>
      <w:pPr>
        <w:jc w:val="both"/>
        <w:ind w:left="1620" w:right="419" w:firstLine="360"/>
        <w:spacing w:after="0" w:line="261" w:lineRule="auto"/>
        <w:tabs>
          <w:tab w:leader="none" w:pos="2393"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8"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44"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1924"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87" w:lineRule="exact"/>
        <w:rPr>
          <w:rFonts w:ascii="Times New Roman" w:cs="Times New Roman" w:eastAsia="Times New Roman" w:hAnsi="Times New Roman"/>
          <w:sz w:val="18"/>
          <w:szCs w:val="18"/>
          <w:b w:val="1"/>
          <w:bCs w:val="1"/>
          <w:i w:val="1"/>
          <w:iCs w:val="1"/>
          <w:color w:val="auto"/>
        </w:rPr>
      </w:pPr>
    </w:p>
    <w:p>
      <w:pPr>
        <w:jc w:val="both"/>
        <w:ind w:left="1260" w:right="419" w:firstLine="360"/>
        <w:spacing w:after="0" w:line="259" w:lineRule="auto"/>
        <w:tabs>
          <w:tab w:leader="none" w:pos="2069"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11" w:lineRule="exact"/>
        <w:rPr>
          <w:rFonts w:ascii="Times New Roman" w:cs="Times New Roman" w:eastAsia="Times New Roman" w:hAnsi="Times New Roman"/>
          <w:sz w:val="18"/>
          <w:szCs w:val="18"/>
          <w:b w:val="1"/>
          <w:bCs w:val="1"/>
          <w:i w:val="1"/>
          <w:iCs w:val="1"/>
          <w:color w:val="auto"/>
        </w:rPr>
      </w:pPr>
    </w:p>
    <w:p>
      <w:pPr>
        <w:ind w:left="1260" w:right="419" w:firstLine="360"/>
        <w:spacing w:after="0" w:line="286" w:lineRule="auto"/>
        <w:tabs>
          <w:tab w:leader="none" w:pos="196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2020 provided this Plan is approved by the Company’s stockholders at such meeting.</w:t>
      </w:r>
    </w:p>
    <w:p>
      <w:pPr>
        <w:spacing w:after="0" w:line="73" w:lineRule="exact"/>
        <w:rPr>
          <w:rFonts w:ascii="Times New Roman" w:cs="Times New Roman" w:eastAsia="Times New Roman" w:hAnsi="Times New Roman"/>
          <w:sz w:val="18"/>
          <w:szCs w:val="18"/>
          <w:b w:val="1"/>
          <w:bCs w:val="1"/>
          <w:color w:val="auto"/>
        </w:rPr>
      </w:pPr>
    </w:p>
    <w:p>
      <w:pPr>
        <w:jc w:val="both"/>
        <w:ind w:left="1260" w:right="419" w:firstLine="360"/>
        <w:spacing w:after="0" w:line="268" w:lineRule="auto"/>
        <w:tabs>
          <w:tab w:leader="none" w:pos="201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03"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57"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44"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6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87" w:lineRule="exact"/>
        <w:rPr>
          <w:sz w:val="20"/>
          <w:szCs w:val="20"/>
          <w:color w:val="auto"/>
        </w:rPr>
      </w:pPr>
    </w:p>
    <w:p>
      <w:pPr>
        <w:jc w:val="both"/>
        <w:ind w:left="1260" w:right="419" w:firstLine="360"/>
        <w:spacing w:after="0" w:line="254" w:lineRule="auto"/>
        <w:tabs>
          <w:tab w:leader="none" w:pos="214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57" w:lineRule="auto"/>
        <w:tabs>
          <w:tab w:leader="none" w:pos="2098"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303" w:lineRule="exact"/>
        <w:rPr>
          <w:rFonts w:ascii="Times New Roman" w:cs="Times New Roman" w:eastAsia="Times New Roman" w:hAnsi="Times New Roman"/>
          <w:sz w:val="18"/>
          <w:szCs w:val="18"/>
          <w:b w:val="1"/>
          <w:bCs w:val="1"/>
          <w:color w:val="auto"/>
        </w:rPr>
      </w:pPr>
    </w:p>
    <w:p>
      <w:pPr>
        <w:jc w:val="both"/>
        <w:ind w:left="1620" w:right="419" w:firstLine="360"/>
        <w:spacing w:after="0" w:line="245" w:lineRule="auto"/>
        <w:tabs>
          <w:tab w:leader="none" w:pos="2303" w:val="left"/>
        </w:tabs>
        <w:numPr>
          <w:ilvl w:val="2"/>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13" w:lineRule="exact"/>
        <w:rPr>
          <w:rFonts w:ascii="Times New Roman" w:cs="Times New Roman" w:eastAsia="Times New Roman" w:hAnsi="Times New Roman"/>
          <w:sz w:val="18"/>
          <w:szCs w:val="18"/>
          <w:b w:val="1"/>
          <w:bCs w:val="1"/>
          <w:color w:val="auto"/>
        </w:rPr>
      </w:pPr>
    </w:p>
    <w:p>
      <w:pPr>
        <w:jc w:val="both"/>
        <w:ind w:left="1620" w:right="419" w:firstLine="360"/>
        <w:spacing w:after="0" w:line="254" w:lineRule="auto"/>
        <w:tabs>
          <w:tab w:leader="none" w:pos="2343" w:val="left"/>
        </w:tabs>
        <w:numPr>
          <w:ilvl w:val="2"/>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317" w:lineRule="exact"/>
        <w:rPr>
          <w:rFonts w:ascii="Times New Roman" w:cs="Times New Roman" w:eastAsia="Times New Roman" w:hAnsi="Times New Roman"/>
          <w:sz w:val="18"/>
          <w:szCs w:val="18"/>
          <w:b w:val="1"/>
          <w:bCs w:val="1"/>
          <w:color w:val="auto"/>
        </w:rPr>
      </w:pPr>
    </w:p>
    <w:p>
      <w:pPr>
        <w:jc w:val="both"/>
        <w:ind w:left="1620" w:right="419" w:firstLine="360"/>
        <w:spacing w:after="0" w:line="250" w:lineRule="auto"/>
        <w:tabs>
          <w:tab w:leader="none" w:pos="2443" w:val="left"/>
        </w:tabs>
        <w:numPr>
          <w:ilvl w:val="2"/>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91" w:lineRule="exact"/>
        <w:rPr>
          <w:rFonts w:ascii="Times New Roman" w:cs="Times New Roman" w:eastAsia="Times New Roman" w:hAnsi="Times New Roman"/>
          <w:sz w:val="18"/>
          <w:szCs w:val="18"/>
          <w:b w:val="1"/>
          <w:bCs w:val="1"/>
          <w:color w:val="auto"/>
        </w:rPr>
      </w:pPr>
    </w:p>
    <w:p>
      <w:pPr>
        <w:jc w:val="both"/>
        <w:ind w:left="1260" w:right="419" w:firstLine="360"/>
        <w:spacing w:after="0" w:line="239" w:lineRule="auto"/>
        <w:tabs>
          <w:tab w:leader="none" w:pos="2112"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w:t>
      </w:r>
    </w:p>
    <w:p>
      <w:pPr>
        <w:spacing w:after="0" w:line="2" w:lineRule="exact"/>
        <w:rPr>
          <w:rFonts w:ascii="Times New Roman" w:cs="Times New Roman" w:eastAsia="Times New Roman" w:hAnsi="Times New Roman"/>
          <w:sz w:val="18"/>
          <w:szCs w:val="18"/>
          <w:b w:val="1"/>
          <w:bCs w:val="1"/>
          <w:color w:val="auto"/>
        </w:rPr>
      </w:pPr>
    </w:p>
    <w:p>
      <w:pPr>
        <w:ind w:left="1260" w:right="419"/>
        <w:spacing w:after="0" w:line="243" w:lineRule="auto"/>
        <w:tabs>
          <w:tab w:leader="none" w:pos="15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self-regulatory organization (including the Nasdaq Stock Market, New York Stock Exchange, and the Financial Industry Regulatory Authority).</w:t>
      </w:r>
    </w:p>
    <w:p>
      <w:pPr>
        <w:spacing w:after="0" w:line="110"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2139"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09"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031"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line="253" w:lineRule="auto"/>
        <w:tabs>
          <w:tab w:leader="none" w:pos="2058"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340" w:lineRule="exact"/>
        <w:rPr>
          <w:rFonts w:ascii="Times New Roman" w:cs="Times New Roman" w:eastAsia="Times New Roman" w:hAnsi="Times New Roman"/>
          <w:sz w:val="18"/>
          <w:szCs w:val="18"/>
          <w:b w:val="1"/>
          <w:bCs w:val="1"/>
          <w:color w:val="auto"/>
        </w:rPr>
      </w:pPr>
    </w:p>
    <w:p>
      <w:pPr>
        <w:jc w:val="both"/>
        <w:ind w:left="1260" w:right="419" w:firstLine="360"/>
        <w:spacing w:after="0" w:line="255" w:lineRule="auto"/>
        <w:tabs>
          <w:tab w:leader="none" w:pos="2078"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1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8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73"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11"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71" w:lineRule="auto"/>
        <w:tabs>
          <w:tab w:leader="none" w:pos="2018"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line="243" w:lineRule="auto"/>
        <w:tabs>
          <w:tab w:leader="none" w:pos="2166"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13"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1971"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86"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225"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112"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04" w:lineRule="exact"/>
        <w:rPr>
          <w:rFonts w:ascii="Times New Roman" w:cs="Times New Roman" w:eastAsia="Times New Roman" w:hAnsi="Times New Roman"/>
          <w:sz w:val="18"/>
          <w:szCs w:val="18"/>
          <w:b w:val="1"/>
          <w:bCs w:val="1"/>
          <w:color w:val="auto"/>
        </w:rPr>
      </w:pPr>
    </w:p>
    <w:p>
      <w:pPr>
        <w:jc w:val="both"/>
        <w:ind w:left="1260" w:right="419" w:firstLine="360"/>
        <w:spacing w:after="0" w:line="244" w:lineRule="auto"/>
        <w:tabs>
          <w:tab w:leader="none" w:pos="2064"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319" w:lineRule="exact"/>
        <w:rPr>
          <w:rFonts w:ascii="Times New Roman" w:cs="Times New Roman" w:eastAsia="Times New Roman" w:hAnsi="Times New Roman"/>
          <w:sz w:val="18"/>
          <w:szCs w:val="18"/>
          <w:b w:val="1"/>
          <w:bCs w:val="1"/>
          <w:color w:val="auto"/>
        </w:rPr>
      </w:pPr>
    </w:p>
    <w:p>
      <w:pPr>
        <w:ind w:left="1260" w:right="419" w:firstLine="360"/>
        <w:spacing w:after="0" w:line="271" w:lineRule="auto"/>
        <w:tabs>
          <w:tab w:leader="none" w:pos="2085"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72" w:lineRule="exact"/>
        <w:rPr>
          <w:rFonts w:ascii="Times New Roman" w:cs="Times New Roman" w:eastAsia="Times New Roman" w:hAnsi="Times New Roman"/>
          <w:sz w:val="18"/>
          <w:szCs w:val="18"/>
          <w:b w:val="1"/>
          <w:bCs w:val="1"/>
          <w:color w:val="auto"/>
        </w:rPr>
      </w:pPr>
    </w:p>
    <w:p>
      <w:pPr>
        <w:jc w:val="both"/>
        <w:ind w:left="1260" w:right="419" w:firstLine="360"/>
        <w:spacing w:after="0"/>
        <w:tabs>
          <w:tab w:leader="none" w:pos="2112"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17" w:lineRule="exact"/>
        <w:rPr>
          <w:rFonts w:ascii="Times New Roman" w:cs="Times New Roman" w:eastAsia="Times New Roman" w:hAnsi="Times New Roman"/>
          <w:sz w:val="18"/>
          <w:szCs w:val="18"/>
          <w:b w:val="1"/>
          <w:bCs w:val="1"/>
          <w:color w:val="auto"/>
        </w:rPr>
      </w:pPr>
    </w:p>
    <w:p>
      <w:pPr>
        <w:jc w:val="both"/>
        <w:ind w:left="1260" w:right="419" w:firstLine="360"/>
        <w:spacing w:after="0" w:line="252" w:lineRule="auto"/>
        <w:tabs>
          <w:tab w:leader="none" w:pos="2071"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03" w:lineRule="exact"/>
        <w:rPr>
          <w:rFonts w:ascii="Times New Roman" w:cs="Times New Roman" w:eastAsia="Times New Roman" w:hAnsi="Times New Roman"/>
          <w:sz w:val="18"/>
          <w:szCs w:val="18"/>
          <w:b w:val="1"/>
          <w:bCs w:val="1"/>
          <w:color w:val="auto"/>
        </w:rPr>
      </w:pPr>
    </w:p>
    <w:p>
      <w:pPr>
        <w:jc w:val="both"/>
        <w:ind w:left="1260" w:right="419" w:firstLine="360"/>
        <w:spacing w:after="0" w:line="237" w:lineRule="auto"/>
        <w:tabs>
          <w:tab w:leader="none" w:pos="2051"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w:t>
      </w:r>
    </w:p>
    <w:p>
      <w:pPr>
        <w:spacing w:after="0" w:line="6" w:lineRule="exact"/>
        <w:rPr>
          <w:rFonts w:ascii="Times New Roman" w:cs="Times New Roman" w:eastAsia="Times New Roman" w:hAnsi="Times New Roman"/>
          <w:sz w:val="18"/>
          <w:szCs w:val="18"/>
          <w:b w:val="1"/>
          <w:bCs w:val="1"/>
          <w:color w:val="auto"/>
        </w:rPr>
      </w:pPr>
    </w:p>
    <w:p>
      <w:pPr>
        <w:jc w:val="both"/>
        <w:ind w:left="1260" w:right="419"/>
        <w:spacing w:after="0" w:line="236" w:lineRule="auto"/>
        <w:tabs>
          <w:tab w:leader="none" w:pos="153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03" w:lineRule="exact"/>
        <w:rPr>
          <w:sz w:val="20"/>
          <w:szCs w:val="20"/>
          <w:color w:val="auto"/>
        </w:rPr>
      </w:pPr>
    </w:p>
    <w:p>
      <w:pPr>
        <w:jc w:val="both"/>
        <w:ind w:left="1260" w:right="419" w:firstLine="360"/>
        <w:spacing w:after="0" w:line="262" w:lineRule="auto"/>
        <w:tabs>
          <w:tab w:leader="none" w:pos="1991"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08" w:lineRule="exact"/>
        <w:rPr>
          <w:rFonts w:ascii="Times New Roman" w:cs="Times New Roman" w:eastAsia="Times New Roman" w:hAnsi="Times New Roman"/>
          <w:sz w:val="18"/>
          <w:szCs w:val="18"/>
          <w:b w:val="1"/>
          <w:bCs w:val="1"/>
          <w:color w:val="auto"/>
        </w:rPr>
      </w:pPr>
    </w:p>
    <w:p>
      <w:pPr>
        <w:ind w:left="2080" w:hanging="460"/>
        <w:spacing w:after="0"/>
        <w:tabs>
          <w:tab w:leader="none" w:pos="20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Marker Therapeutics, Inc. 2020 Equity Incentive Plan, as amended.</w:t>
      </w:r>
    </w:p>
    <w:p>
      <w:pPr>
        <w:spacing w:after="0" w:line="157" w:lineRule="exact"/>
        <w:rPr>
          <w:rFonts w:ascii="Times New Roman" w:cs="Times New Roman" w:eastAsia="Times New Roman" w:hAnsi="Times New Roman"/>
          <w:sz w:val="18"/>
          <w:szCs w:val="18"/>
          <w:b w:val="1"/>
          <w:bCs w:val="1"/>
          <w:color w:val="auto"/>
        </w:rPr>
      </w:pPr>
    </w:p>
    <w:p>
      <w:pPr>
        <w:jc w:val="both"/>
        <w:ind w:left="1260" w:right="419" w:firstLine="360"/>
        <w:spacing w:after="0" w:line="278" w:lineRule="auto"/>
        <w:tabs>
          <w:tab w:leader="none" w:pos="2105"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303"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21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8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51"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Plans as of immediately prior to the Effective Date.</w:t>
      </w:r>
    </w:p>
    <w:p>
      <w:pPr>
        <w:spacing w:after="0" w:line="8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159"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 the TapImmune Inc. 2014 Omnibus Stock Ownership Plan and the Tap Immune Inc. 2009 Stock Incentive Plan, each as amended.</w:t>
      </w:r>
    </w:p>
    <w:p>
      <w:pPr>
        <w:spacing w:after="0" w:line="73"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71"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87" w:lineRule="exact"/>
        <w:rPr>
          <w:sz w:val="20"/>
          <w:szCs w:val="20"/>
          <w:color w:val="auto"/>
        </w:rPr>
      </w:pPr>
    </w:p>
    <w:p>
      <w:pPr>
        <w:ind w:left="1260" w:right="419" w:firstLine="360"/>
        <w:spacing w:after="0" w:line="286" w:lineRule="auto"/>
        <w:tabs>
          <w:tab w:leader="none" w:pos="2137"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87" w:lineRule="exact"/>
        <w:rPr>
          <w:rFonts w:ascii="Times New Roman" w:cs="Times New Roman" w:eastAsia="Times New Roman" w:hAnsi="Times New Roman"/>
          <w:sz w:val="18"/>
          <w:szCs w:val="18"/>
          <w:b w:val="1"/>
          <w:bCs w:val="1"/>
          <w:color w:val="auto"/>
        </w:rPr>
      </w:pPr>
    </w:p>
    <w:p>
      <w:pPr>
        <w:jc w:val="both"/>
        <w:ind w:left="1260" w:right="419" w:firstLine="360"/>
        <w:spacing w:after="0" w:line="257" w:lineRule="auto"/>
        <w:tabs>
          <w:tab w:leader="none" w:pos="224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01"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217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15" w:lineRule="exact"/>
        <w:rPr>
          <w:rFonts w:ascii="Times New Roman" w:cs="Times New Roman" w:eastAsia="Times New Roman" w:hAnsi="Times New Roman"/>
          <w:sz w:val="18"/>
          <w:szCs w:val="18"/>
          <w:b w:val="1"/>
          <w:bCs w:val="1"/>
          <w:color w:val="auto"/>
        </w:rPr>
      </w:pPr>
    </w:p>
    <w:p>
      <w:pPr>
        <w:jc w:val="both"/>
        <w:ind w:left="1260" w:right="419" w:firstLine="360"/>
        <w:spacing w:after="0" w:line="278" w:lineRule="auto"/>
        <w:tabs>
          <w:tab w:leader="none" w:pos="2262"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316" w:lineRule="exact"/>
        <w:rPr>
          <w:rFonts w:ascii="Times New Roman" w:cs="Times New Roman" w:eastAsia="Times New Roman" w:hAnsi="Times New Roman"/>
          <w:sz w:val="18"/>
          <w:szCs w:val="18"/>
          <w:b w:val="1"/>
          <w:bCs w:val="1"/>
          <w:color w:val="auto"/>
        </w:rPr>
      </w:pPr>
    </w:p>
    <w:p>
      <w:pPr>
        <w:jc w:val="both"/>
        <w:ind w:left="1260" w:right="419" w:firstLine="360"/>
        <w:spacing w:after="0" w:line="259" w:lineRule="auto"/>
        <w:tabs>
          <w:tab w:leader="none" w:pos="2107"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86" w:lineRule="auto"/>
        <w:tabs>
          <w:tab w:leader="none" w:pos="2169"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73" w:lineRule="exact"/>
        <w:rPr>
          <w:rFonts w:ascii="Times New Roman" w:cs="Times New Roman" w:eastAsia="Times New Roman" w:hAnsi="Times New Roman"/>
          <w:sz w:val="18"/>
          <w:szCs w:val="18"/>
          <w:b w:val="1"/>
          <w:bCs w:val="1"/>
          <w:color w:val="auto"/>
        </w:rPr>
      </w:pPr>
    </w:p>
    <w:p>
      <w:pPr>
        <w:ind w:left="2140" w:hanging="520"/>
        <w:spacing w:after="0"/>
        <w:tabs>
          <w:tab w:leader="none" w:pos="21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57" w:lineRule="exact"/>
        <w:rPr>
          <w:rFonts w:ascii="Times New Roman" w:cs="Times New Roman" w:eastAsia="Times New Roman" w:hAnsi="Times New Roman"/>
          <w:sz w:val="18"/>
          <w:szCs w:val="18"/>
          <w:b w:val="1"/>
          <w:bCs w:val="1"/>
          <w:color w:val="auto"/>
        </w:rPr>
      </w:pPr>
    </w:p>
    <w:p>
      <w:pPr>
        <w:ind w:left="2280" w:hanging="660"/>
        <w:spacing w:after="0"/>
        <w:tabs>
          <w:tab w:leader="none" w:pos="22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w:t>
      </w:r>
    </w:p>
    <w:p>
      <w:pPr>
        <w:spacing w:after="0" w:line="31"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thereunder.</w:t>
      </w:r>
    </w:p>
    <w:p>
      <w:pPr>
        <w:spacing w:after="0" w:line="135" w:lineRule="exact"/>
        <w:rPr>
          <w:rFonts w:ascii="Times New Roman" w:cs="Times New Roman" w:eastAsia="Times New Roman" w:hAnsi="Times New Roman"/>
          <w:sz w:val="18"/>
          <w:szCs w:val="18"/>
          <w:b w:val="1"/>
          <w:bCs w:val="1"/>
          <w:color w:val="auto"/>
        </w:rPr>
      </w:pPr>
    </w:p>
    <w:p>
      <w:pPr>
        <w:jc w:val="both"/>
        <w:ind w:left="1260" w:right="419" w:firstLine="360"/>
        <w:spacing w:after="0" w:line="262" w:lineRule="auto"/>
        <w:tabs>
          <w:tab w:leader="none" w:pos="208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95" w:lineRule="exact"/>
        <w:rPr>
          <w:rFonts w:ascii="Times New Roman" w:cs="Times New Roman" w:eastAsia="Times New Roman" w:hAnsi="Times New Roman"/>
          <w:sz w:val="18"/>
          <w:szCs w:val="18"/>
          <w:b w:val="1"/>
          <w:bCs w:val="1"/>
          <w:color w:val="auto"/>
        </w:rPr>
      </w:pPr>
    </w:p>
    <w:p>
      <w:pPr>
        <w:ind w:left="2040" w:hanging="420"/>
        <w:spacing w:after="0"/>
        <w:tabs>
          <w:tab w:leader="none" w:pos="20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16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87" w:lineRule="exact"/>
        <w:rPr>
          <w:rFonts w:ascii="Times New Roman" w:cs="Times New Roman" w:eastAsia="Times New Roman" w:hAnsi="Times New Roman"/>
          <w:sz w:val="18"/>
          <w:szCs w:val="18"/>
          <w:b w:val="1"/>
          <w:bCs w:val="1"/>
          <w:color w:val="auto"/>
        </w:rPr>
      </w:pPr>
    </w:p>
    <w:p>
      <w:pPr>
        <w:ind w:left="1260" w:right="419" w:firstLine="360"/>
        <w:spacing w:after="0" w:line="286" w:lineRule="auto"/>
        <w:tabs>
          <w:tab w:leader="none" w:pos="204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73" w:lineRule="exact"/>
        <w:rPr>
          <w:rFonts w:ascii="Times New Roman" w:cs="Times New Roman" w:eastAsia="Times New Roman" w:hAnsi="Times New Roman"/>
          <w:sz w:val="18"/>
          <w:szCs w:val="18"/>
          <w:b w:val="1"/>
          <w:bCs w:val="1"/>
          <w:color w:val="auto"/>
        </w:rPr>
      </w:pPr>
    </w:p>
    <w:p>
      <w:pPr>
        <w:jc w:val="both"/>
        <w:ind w:left="1260" w:right="419" w:firstLine="360"/>
        <w:spacing w:after="0" w:line="259" w:lineRule="auto"/>
        <w:tabs>
          <w:tab w:leader="none" w:pos="2371"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11" w:lineRule="exact"/>
        <w:rPr>
          <w:rFonts w:ascii="Times New Roman" w:cs="Times New Roman" w:eastAsia="Times New Roman" w:hAnsi="Times New Roman"/>
          <w:sz w:val="18"/>
          <w:szCs w:val="18"/>
          <w:b w:val="1"/>
          <w:bCs w:val="1"/>
          <w:color w:val="auto"/>
        </w:rPr>
      </w:pPr>
    </w:p>
    <w:p>
      <w:pPr>
        <w:jc w:val="both"/>
        <w:ind w:left="1260" w:right="419" w:firstLine="360"/>
        <w:spacing w:after="0" w:line="256" w:lineRule="auto"/>
        <w:tabs>
          <w:tab w:leader="none" w:pos="219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5" w:lineRule="exact"/>
        <w:rPr>
          <w:rFonts w:ascii="Times New Roman" w:cs="Times New Roman" w:eastAsia="Times New Roman" w:hAnsi="Times New Roman"/>
          <w:sz w:val="18"/>
          <w:szCs w:val="18"/>
          <w:b w:val="1"/>
          <w:bCs w:val="1"/>
          <w:color w:val="auto"/>
        </w:rPr>
      </w:pPr>
    </w:p>
    <w:p>
      <w:pPr>
        <w:jc w:val="both"/>
        <w:ind w:left="1260" w:right="419" w:firstLine="360"/>
        <w:spacing w:after="0" w:line="268" w:lineRule="auto"/>
        <w:tabs>
          <w:tab w:leader="none" w:pos="227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89" w:lineRule="exact"/>
        <w:rPr>
          <w:rFonts w:ascii="Times New Roman" w:cs="Times New Roman" w:eastAsia="Times New Roman" w:hAnsi="Times New Roman"/>
          <w:sz w:val="18"/>
          <w:szCs w:val="18"/>
          <w:b w:val="1"/>
          <w:bCs w:val="1"/>
          <w:color w:val="auto"/>
        </w:rPr>
      </w:pPr>
    </w:p>
    <w:p>
      <w:pPr>
        <w:jc w:val="both"/>
        <w:ind w:left="1260" w:right="419" w:firstLine="360"/>
        <w:spacing w:after="0" w:line="268" w:lineRule="auto"/>
        <w:tabs>
          <w:tab w:leader="none" w:pos="2221"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6831965" cy="891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rFonts w:ascii="Calibri" w:cs="Calibri" w:eastAsia="Calibri" w:hAnsi="Calibri"/>
          <w:sz w:val="14"/>
          <w:szCs w:val="14"/>
          <w:color w:val="003366"/>
        </w:rPr>
      </w:pPr>
      <w:hyperlink w:anchor="page79">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wp:posOffset>
            </wp:positionV>
            <wp:extent cx="6831965" cy="892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1)"/>
      <w:numFmt w:val="lowerLetter"/>
      <w:start w:val="2"/>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lvl w:ilvl="1">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
      <w:numFmt w:val="bullet"/>
      <w:start w:val="1"/>
    </w:lvl>
    <w:lvl w:ilvl="1">
      <w:lvlJc w:val="left"/>
      <w:lvlText w:val="(%2)"/>
      <w:numFmt w:val="lowerRoman"/>
      <w:start w:val="2"/>
    </w:lvl>
  </w:abstractNum>
  <w:abstractNum w:abstractNumId="20">
    <w:nsid w:val="741226BB"/>
    <w:multiLevelType w:val="hybridMultilevel"/>
    <w:lvl w:ilvl="0">
      <w:lvlJc w:val="left"/>
      <w:lvlText w:val="•"/>
      <w:numFmt w:val="bullet"/>
      <w:start w:val="1"/>
    </w:lvl>
    <w:lvl w:ilvl="1">
      <w:lvlJc w:val="left"/>
      <w:lvlText w:val="(%2)"/>
      <w:numFmt w:val="lowerRoman"/>
      <w:start w:val="3"/>
    </w:lvl>
  </w:abstractNum>
  <w:abstractNum w:abstractNumId="21">
    <w:nsid w:val="D34B6A8"/>
    <w:multiLevelType w:val="hybridMultilevel"/>
    <w:lvl w:ilvl="0">
      <w:lvlJc w:val="left"/>
      <w:lvlText w:val="(%1)"/>
      <w:numFmt w:val="lowerRoman"/>
      <w:start w:val="3"/>
    </w:lvl>
  </w:abstractNum>
  <w:abstractNum w:abstractNumId="22">
    <w:nsid w:val="10233C99"/>
    <w:multiLevelType w:val="hybridMultilevel"/>
    <w:lvl w:ilvl="0">
      <w:lvlJc w:val="left"/>
      <w:lvlText w:val="(%1)"/>
      <w:numFmt w:val="lowerRoman"/>
      <w:start w:val="1"/>
    </w:lvl>
  </w:abstractNum>
  <w:abstractNum w:abstractNumId="23">
    <w:nsid w:val="3F6AB60F"/>
    <w:multiLevelType w:val="hybridMultilevel"/>
    <w:lvl w:ilvl="0">
      <w:lvlJc w:val="left"/>
      <w:lvlText w:val="(%1)"/>
      <w:numFmt w:val="lowerRoman"/>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12"/>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lvl w:ilvl="1">
      <w:lvlJc w:val="left"/>
      <w:lvlText w:val="(%2)"/>
      <w:numFmt w:val="lowerLetter"/>
      <w:start w:val="1"/>
    </w:lvl>
  </w:abstractNum>
  <w:abstractNum w:abstractNumId="31">
    <w:nsid w:val="25A70BF7"/>
    <w:multiLevelType w:val="hybridMultilevel"/>
    <w:lvl w:ilvl="0">
      <w:lvlJc w:val="left"/>
      <w:lvlText w:val="(%1)"/>
      <w:numFmt w:val="decimal"/>
      <w:start w:val="4"/>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lowerRoman"/>
      <w:start w:val="1"/>
    </w:lvl>
  </w:abstractNum>
  <w:abstractNum w:abstractNumId="38">
    <w:nsid w:val="6590700B"/>
    <w:multiLevelType w:val="hybridMultilevel"/>
    <w:lvl w:ilvl="0">
      <w:lvlJc w:val="left"/>
      <w:lvlText w:val="(%1)"/>
      <w:numFmt w:val="lowerRoman"/>
      <w:start w:val="3"/>
    </w:lvl>
  </w:abstractNum>
  <w:abstractNum w:abstractNumId="39">
    <w:nsid w:val="15014ACB"/>
    <w:multiLevelType w:val="hybridMultilevel"/>
    <w:lvl w:ilvl="0">
      <w:lvlJc w:val="left"/>
      <w:lvlText w:val="(%1)"/>
      <w:numFmt w:val="lowerRoman"/>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lowerLetter"/>
      <w:start w:val="3"/>
    </w:lvl>
  </w:abstractNum>
  <w:abstractNum w:abstractNumId="43">
    <w:nsid w:val="6B94764"/>
    <w:multiLevelType w:val="hybridMultilevel"/>
    <w:lvl w:ilvl="0">
      <w:lvlJc w:val="left"/>
      <w:lvlText w:val="(%1)"/>
      <w:numFmt w:val="lowerLetter"/>
      <w:start w:val="5"/>
    </w:lvl>
  </w:abstractNum>
  <w:abstractNum w:abstractNumId="44">
    <w:nsid w:val="42C296BD"/>
    <w:multiLevelType w:val="hybridMultilevel"/>
    <w:lvl w:ilvl="0">
      <w:lvlJc w:val="left"/>
      <w:lvlText w:val="(%1)"/>
      <w:numFmt w:val="decimal"/>
      <w:start w:val="5"/>
    </w:lvl>
  </w:abstractNum>
  <w:abstractNum w:abstractNumId="45">
    <w:nsid w:val="168E121F"/>
    <w:multiLevelType w:val="hybridMultilevel"/>
    <w:lvl w:ilvl="0">
      <w:lvlJc w:val="left"/>
      <w:lvlText w:val="1"/>
      <w:numFmt w:val="bullet"/>
      <w:start w:val="1"/>
    </w:lvl>
  </w:abstractNum>
  <w:abstractNum w:abstractNumId="46">
    <w:nsid w:val="1EBA5D23"/>
    <w:multiLevelType w:val="hybridMultilevel"/>
    <w:lvl w:ilvl="0">
      <w:lvlJc w:val="left"/>
      <w:lvlText w:val="2"/>
      <w:numFmt w:val="bullet"/>
      <w:start w:val="1"/>
    </w:lvl>
  </w:abstractNum>
  <w:abstractNum w:abstractNumId="47">
    <w:nsid w:val="661E3F1E"/>
    <w:multiLevelType w:val="hybridMultilevel"/>
    <w:lvl w:ilvl="0">
      <w:lvlJc w:val="left"/>
      <w:lvlText w:val="3"/>
      <w:numFmt w:val="bullet"/>
      <w:start w:val="1"/>
    </w:lvl>
  </w:abstractNum>
  <w:abstractNum w:abstractNumId="48">
    <w:nsid w:val="5DC79EA8"/>
    <w:multiLevelType w:val="hybridMultilevel"/>
    <w:lvl w:ilvl="0">
      <w:lvlJc w:val="left"/>
      <w:lvlText w:val="4"/>
      <w:numFmt w:val="bullet"/>
      <w:start w:val="1"/>
    </w:lvl>
  </w:abstractNum>
  <w:abstractNum w:abstractNumId="49">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7BD3EE7B"/>
    <w:multiLevelType w:val="hybridMultilevel"/>
    <w:lvl w:ilvl="0">
      <w:lvlJc w:val="left"/>
      <w:lvlText w:val="%1"/>
      <w:numFmt w:val="decimal"/>
      <w:start w:val="1"/>
    </w:lvl>
    <w:lvl w:ilvl="1">
      <w:lvlJc w:val="left"/>
      <w:lvlText w:val="(%2)"/>
      <w:numFmt w:val="decimal"/>
      <w:start w:val="4"/>
    </w:lvl>
    <w:lvl w:ilvl="2">
      <w:lvlJc w:val="left"/>
      <w:lvlText w:val="(%3)"/>
      <w:numFmt w:val="lowerRoman"/>
      <w:start w:val="3"/>
    </w:lvl>
  </w:abstractNum>
  <w:abstractNum w:abstractNumId="51">
    <w:nsid w:val="51D9C564"/>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abstractNum>
  <w:abstractNum w:abstractNumId="52">
    <w:nsid w:val="613EFDC5"/>
    <w:multiLevelType w:val="hybridMultilevel"/>
    <w:lvl w:ilvl="0">
      <w:lvlJc w:val="left"/>
      <w:lvlText w:val="(%1)"/>
      <w:numFmt w:val="lowerLetter"/>
      <w:start w:val="1"/>
    </w:lvl>
    <w:lvl w:ilvl="1">
      <w:lvlJc w:val="left"/>
      <w:lvlText w:val="(%2)"/>
      <w:numFmt w:val="lowerRoman"/>
      <w:start w:val="1"/>
    </w:lvl>
  </w:abstractNum>
  <w:abstractNum w:abstractNumId="53">
    <w:nsid w:val="BF72B14"/>
    <w:multiLevelType w:val="hybridMultilevel"/>
    <w:lvl w:ilvl="0">
      <w:lvlJc w:val="left"/>
      <w:lvlText w:val="%1"/>
      <w:numFmt w:val="lowerRoman"/>
      <w:start w:val="1"/>
    </w:lvl>
    <w:lvl w:ilvl="1">
      <w:lvlJc w:val="left"/>
      <w:lvlText w:val="(%2)"/>
      <w:numFmt w:val="lowerRoman"/>
      <w:start w:val="5"/>
    </w:lvl>
  </w:abstractNum>
  <w:abstractNum w:abstractNumId="54">
    <w:nsid w:val="11447B73"/>
    <w:multiLevelType w:val="hybridMultilevel"/>
    <w:lvl w:ilvl="0">
      <w:lvlJc w:val="left"/>
      <w:lvlText w:val="(%1)"/>
      <w:numFmt w:val="lowerRoman"/>
      <w:start w:val="1"/>
    </w:lvl>
    <w:lvl w:ilvl="1">
      <w:lvlJc w:val="left"/>
      <w:lvlText w:val="%2"/>
      <w:numFmt w:val="lowerRoman"/>
      <w:start w:val="1"/>
    </w:lvl>
  </w:abstractNum>
  <w:abstractNum w:abstractNumId="55">
    <w:nsid w:val="42963E5A"/>
    <w:multiLevelType w:val="hybridMultilevel"/>
    <w:lvl w:ilvl="0">
      <w:lvlJc w:val="left"/>
      <w:lvlText w:val="%1"/>
      <w:numFmt w:val="decimal"/>
      <w:start w:val="1"/>
    </w:lvl>
    <w:lvl w:ilvl="1">
      <w:lvlJc w:val="left"/>
      <w:lvlText w:val="(%2)"/>
      <w:numFmt w:val="lowerLetter"/>
      <w:start w:val="3"/>
    </w:lvl>
  </w:abstractNum>
  <w:abstractNum w:abstractNumId="56">
    <w:nsid w:val="A0382C5"/>
    <w:multiLevelType w:val="hybridMultilevel"/>
    <w:lvl w:ilvl="0">
      <w:lvlJc w:val="left"/>
      <w:lvlText w:val="%1."/>
      <w:numFmt w:val="decimal"/>
      <w:start w:val="4"/>
    </w:lvl>
    <w:lvl w:ilvl="1">
      <w:lvlJc w:val="left"/>
      <w:lvlText w:val="%2"/>
      <w:numFmt w:val="lowerLetter"/>
      <w:start w:val="1"/>
    </w:lvl>
  </w:abstractNum>
  <w:abstractNum w:abstractNumId="57">
    <w:nsid w:val="8F2B15E"/>
    <w:multiLevelType w:val="hybridMultilevel"/>
    <w:lvl w:ilvl="0">
      <w:lvlJc w:val="left"/>
      <w:lvlText w:val="(%1)"/>
      <w:numFmt w:val="lowerLetter"/>
      <w:start w:val="1"/>
    </w:lvl>
    <w:lvl w:ilvl="1">
      <w:lvlJc w:val="left"/>
      <w:lvlText w:val="(%2)"/>
      <w:numFmt w:val="lowerLetter"/>
      <w:start w:val="9"/>
    </w:lvl>
  </w:abstractNum>
  <w:abstractNum w:abstractNumId="58">
    <w:nsid w:val="1A32234B"/>
    <w:multiLevelType w:val="hybridMultilevel"/>
    <w:lvl w:ilvl="0">
      <w:lvlJc w:val="left"/>
      <w:lvlText w:val="%1"/>
      <w:numFmt w:val="lowerLetter"/>
      <w:start w:val="1"/>
    </w:lvl>
    <w:lvl w:ilvl="1">
      <w:lvlJc w:val="left"/>
      <w:lvlText w:val="(%2)"/>
      <w:numFmt w:val="lowerRoman"/>
      <w:start w:val="2"/>
    </w:lvl>
  </w:abstractNum>
  <w:abstractNum w:abstractNumId="59">
    <w:nsid w:val="3B0FD379"/>
    <w:multiLevelType w:val="hybridMultilevel"/>
    <w:lvl w:ilvl="0">
      <w:lvlJc w:val="left"/>
      <w:lvlText w:val="(%1)"/>
      <w:numFmt w:val="lowerLetter"/>
      <w:start w:val="4"/>
    </w:lvl>
    <w:lvl w:ilvl="1">
      <w:lvlJc w:val="left"/>
      <w:lvlText w:val="(%2)"/>
      <w:numFmt w:val="lowerRoman"/>
      <w:start w:val="1"/>
    </w:lvl>
  </w:abstractNum>
  <w:abstractNum w:abstractNumId="60">
    <w:nsid w:val="68EB2F63"/>
    <w:multiLevelType w:val="hybridMultilevel"/>
    <w:lvl w:ilvl="0">
      <w:lvlJc w:val="left"/>
      <w:lvlText w:val="(%1)"/>
      <w:numFmt w:val="lowerLetter"/>
      <w:start w:val="7"/>
    </w:lvl>
    <w:lvl w:ilvl="1">
      <w:lvlJc w:val="left"/>
      <w:lvlText w:val="(%2)"/>
      <w:numFmt w:val="lowerRoman"/>
      <w:start w:val="1"/>
    </w:lvl>
  </w:abstractNum>
  <w:abstractNum w:abstractNumId="61">
    <w:nsid w:val="4962813B"/>
    <w:multiLevelType w:val="hybridMultilevel"/>
    <w:lvl w:ilvl="0">
      <w:lvlJc w:val="left"/>
      <w:lvlText w:val="%1"/>
      <w:numFmt w:val="lowerRoman"/>
      <w:start w:val="1"/>
    </w:lvl>
    <w:lvl w:ilvl="1">
      <w:lvlJc w:val="left"/>
      <w:lvlText w:val="(%2)"/>
      <w:numFmt w:val="lowerLetter"/>
      <w:start w:val="9"/>
    </w:lvl>
  </w:abstractNum>
  <w:abstractNum w:abstractNumId="62">
    <w:nsid w:val="60B6DF70"/>
    <w:multiLevelType w:val="hybridMultilevel"/>
    <w:lvl w:ilvl="0">
      <w:lvlJc w:val="left"/>
      <w:lvlText w:val="(%1)"/>
      <w:numFmt w:val="lowerRoman"/>
      <w:start w:val="4"/>
    </w:lvl>
    <w:lvl w:ilvl="1">
      <w:lvlJc w:val="left"/>
      <w:lvlText w:val="%2"/>
      <w:numFmt w:val="lowerLetter"/>
      <w:start w:val="1"/>
    </w:lvl>
  </w:abstractNum>
  <w:abstractNum w:abstractNumId="63">
    <w:nsid w:val="6A5EE64"/>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64">
    <w:nsid w:val="1433062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5">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6">
    <w:nsid w:val="1A27709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71EA11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8">
    <w:nsid w:val="100F59DC"/>
    <w:multiLevelType w:val="hybridMultilevel"/>
    <w:lvl w:ilvl="0">
      <w:lvlJc w:val="left"/>
      <w:lvlText w:val="(%1)"/>
      <w:numFmt w:val="lowerLetter"/>
      <w:start w:val="3"/>
    </w:lvl>
    <w:lvl w:ilvl="1">
      <w:lvlJc w:val="left"/>
      <w:lvlText w:val="(%2)"/>
      <w:numFmt w:val="lowerRoman"/>
      <w:start w:val="1"/>
    </w:lvl>
  </w:abstractNum>
  <w:abstractNum w:abstractNumId="69">
    <w:nsid w:val="7FB7E0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0">
    <w:nsid w:val="6EB5B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1">
    <w:nsid w:val="6F6DD9AC"/>
    <w:multiLevelType w:val="hybridMultilevel"/>
    <w:lvl w:ilvl="0">
      <w:lvlJc w:val="left"/>
      <w:lvlText w:val="%1"/>
      <w:numFmt w:val="lowerLetter"/>
      <w:start w:val="1"/>
    </w:lvl>
    <w:lvl w:ilvl="1">
      <w:lvlJc w:val="left"/>
      <w:lvlText w:val="(%2)"/>
      <w:numFmt w:val="lowerRoman"/>
      <w:start w:val="10"/>
    </w:lvl>
  </w:abstractNum>
  <w:abstractNum w:abstractNumId="72">
    <w:nsid w:val="94211F2"/>
    <w:multiLevelType w:val="hybridMultilevel"/>
    <w:lvl w:ilvl="0">
      <w:lvlJc w:val="left"/>
      <w:lvlText w:val="(%1)"/>
      <w:numFmt w:val="lowerLetter"/>
      <w:start w:val="3"/>
    </w:lvl>
    <w:lvl w:ilvl="1">
      <w:lvlJc w:val="left"/>
      <w:lvlText w:val="(%2)"/>
      <w:numFmt w:val="lowerRoman"/>
      <w:start w:val="1"/>
    </w:lvl>
  </w:abstractNum>
  <w:abstractNum w:abstractNumId="73">
    <w:nsid w:val="885E1B"/>
    <w:multiLevelType w:val="hybridMultilevel"/>
    <w:lvl w:ilvl="0">
      <w:lvlJc w:val="left"/>
      <w:lvlText w:val="%1."/>
      <w:numFmt w:val="decimal"/>
      <w:start w:val="8"/>
    </w:lvl>
    <w:lvl w:ilvl="1">
      <w:lvlJc w:val="left"/>
      <w:lvlText w:val="(%2)"/>
      <w:numFmt w:val="lowerLetter"/>
      <w:start w:val="1"/>
    </w:lvl>
  </w:abstractNum>
  <w:abstractNum w:abstractNumId="74">
    <w:nsid w:val="76272110"/>
    <w:multiLevelType w:val="hybridMultilevel"/>
    <w:lvl w:ilvl="0">
      <w:lvlJc w:val="left"/>
      <w:lvlText w:val="%1."/>
      <w:numFmt w:val="decimal"/>
      <w:start w:val="9"/>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lvl w:ilvl="1">
      <w:lvlJc w:val="left"/>
      <w:lvlText w:val="(%2)"/>
      <w:numFmt w:val="lowerLetter"/>
      <w:start w:val="4"/>
    </w:lvl>
  </w:abstractNum>
  <w:abstractNum w:abstractNumId="77">
    <w:nsid w:val="14E17E33"/>
    <w:multiLevelType w:val="hybridMultilevel"/>
    <w:lvl w:ilvl="0">
      <w:lvlJc w:val="left"/>
      <w:lvlText w:val="(%1)"/>
      <w:numFmt w:val="lowerLetter"/>
      <w:start w:val="35"/>
    </w:lvl>
    <w:lvl w:ilvl="1">
      <w:lvlJc w:val="left"/>
      <w:lvlText w:val="(%2)"/>
      <w:numFmt w:val="lowerLetter"/>
      <w:start w:val="5"/>
    </w:lvl>
  </w:abstractNum>
  <w:abstractNum w:abstractNumId="78">
    <w:nsid w:val="3222E7CD"/>
    <w:multiLevelType w:val="hybridMultilevel"/>
    <w:lvl w:ilvl="0">
      <w:lvlJc w:val="left"/>
      <w:lvlText w:val="(%1)"/>
      <w:numFmt w:val="lowerLetter"/>
      <w:start w:val="9"/>
    </w:lvl>
    <w:lvl w:ilvl="1">
      <w:lvlJc w:val="left"/>
      <w:lvlText w:val="%2"/>
      <w:numFmt w:val="lowerLetter"/>
      <w:start w:val="1"/>
    </w:lvl>
  </w:abstractNum>
  <w:abstractNum w:abstractNumId="79">
    <w:nsid w:val="74DE0EE3"/>
    <w:multiLevelType w:val="hybridMultilevel"/>
    <w:lvl w:ilvl="0">
      <w:lvlJc w:val="left"/>
      <w:lvlText w:val="(%1)"/>
      <w:numFmt w:val="lowerLetter"/>
      <w:start w:val="61"/>
    </w:lvl>
    <w:lvl w:ilvl="1">
      <w:lvlJc w:val="left"/>
      <w:lvlText w:val="(%2)"/>
      <w:numFmt w:val="lowerLetter"/>
      <w:start w:val="6"/>
    </w:lvl>
  </w:abstractNum>
  <w:abstractNum w:abstractNumId="80">
    <w:nsid w:val="68EBC550"/>
    <w:multiLevelType w:val="hybridMultilevel"/>
    <w:lvl w:ilvl="0">
      <w:lvlJc w:val="left"/>
      <w:lvlText w:val="(%1)"/>
      <w:numFmt w:val="lowerLetter"/>
      <w:start w:val="9"/>
    </w:lvl>
    <w:lvl w:ilvl="1">
      <w:lvlJc w:val="left"/>
      <w:lvlText w:val="%2"/>
      <w:numFmt w:val="lowerLetter"/>
      <w:start w:val="1"/>
    </w:lvl>
  </w:abstractNum>
  <w:abstractNum w:abstractNumId="81">
    <w:nsid w:val="2DF6D648"/>
    <w:multiLevelType w:val="hybridMultilevel"/>
    <w:lvl w:ilvl="0">
      <w:lvlJc w:val="left"/>
      <w:lvlText w:val="(%1)"/>
      <w:numFmt w:val="lowerLetter"/>
      <w:start w:val="35"/>
    </w:lvl>
    <w:lvl w:ilvl="1">
      <w:lvlJc w:val="left"/>
      <w:lvlText w:val="(%2)"/>
      <w:numFmt w:val="lowerLetter"/>
      <w:start w:val="7"/>
    </w:lvl>
  </w:abstractNum>
  <w:abstractNum w:abstractNumId="82">
    <w:nsid w:val="46B7D447"/>
    <w:multiLevelType w:val="hybridMultilevel"/>
    <w:lvl w:ilvl="0">
      <w:lvlJc w:val="left"/>
      <w:lvlText w:val="(%1)"/>
      <w:numFmt w:val="lowerLetter"/>
      <w:start w:val="10"/>
    </w:lvl>
  </w:abstractNum>
  <w:abstractNum w:abstractNumId="83">
    <w:nsid w:val="4A2AC315"/>
    <w:multiLevelType w:val="hybridMultilevel"/>
    <w:lvl w:ilvl="0">
      <w:lvlJc w:val="left"/>
      <w:lvlText w:val="%1."/>
      <w:numFmt w:val="decimal"/>
      <w:start w:val="10"/>
    </w:lvl>
    <w:lvl w:ilvl="1">
      <w:lvlJc w:val="left"/>
      <w:lvlText w:val="(%2)"/>
      <w:numFmt w:val="lowerLetter"/>
      <w:start w:val="1"/>
    </w:lvl>
  </w:abstractNum>
  <w:abstractNum w:abstractNumId="84">
    <w:nsid w:val="39EE015C"/>
    <w:multiLevelType w:val="hybridMultilevel"/>
    <w:lvl w:ilvl="0">
      <w:lvlJc w:val="left"/>
      <w:lvlText w:val="%1."/>
      <w:numFmt w:val="decimal"/>
      <w:start w:val="12"/>
    </w:lvl>
  </w:abstractNum>
  <w:abstractNum w:abstractNumId="85">
    <w:nsid w:val="57FC4FBB"/>
    <w:multiLevelType w:val="hybridMultilevel"/>
    <w:lvl w:ilvl="0">
      <w:lvlJc w:val="left"/>
      <w:lvlText w:val="%1."/>
      <w:numFmt w:val="decimal"/>
      <w:start w:val="13"/>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lowerLetter"/>
      <w:start w:val="8"/>
    </w:lvl>
    <w:lvl w:ilvl="1">
      <w:lvlJc w:val="left"/>
      <w:lvlText w:val="(%2)"/>
      <w:numFmt w:val="lowerRoman"/>
      <w:start w:val="1"/>
    </w:lvl>
  </w:abstractNum>
  <w:abstractNum w:abstractNumId="88">
    <w:nsid w:val="60EF0119"/>
    <w:multiLevelType w:val="hybridMultilevel"/>
    <w:lvl w:ilvl="0">
      <w:lvlJc w:val="left"/>
      <w:lvlText w:val="(%1)"/>
      <w:numFmt w:val="lowerRoman"/>
      <w:start w:val="4"/>
    </w:lvl>
  </w:abstractNum>
  <w:abstractNum w:abstractNumId="89">
    <w:nsid w:val="26F324BA"/>
    <w:multiLevelType w:val="hybridMultilevel"/>
    <w:lvl w:ilvl="0">
      <w:lvlJc w:val="left"/>
      <w:lvlText w:val="(%1)"/>
      <w:numFmt w:val="lowerLetter"/>
      <w:start w:val="11"/>
    </w:lvl>
  </w:abstractNum>
  <w:abstractNum w:abstractNumId="90">
    <w:nsid w:val="7F01579B"/>
    <w:multiLevelType w:val="hybridMultilevel"/>
    <w:lvl w:ilvl="0">
      <w:lvlJc w:val="left"/>
      <w:lvlText w:val="(%1)"/>
      <w:numFmt w:val="lowerLetter"/>
      <w:start w:val="18"/>
    </w:lvl>
    <w:lvl w:ilvl="1">
      <w:lvlJc w:val="left"/>
      <w:lvlText w:val="(%2)"/>
      <w:numFmt w:val="lowerRoman"/>
      <w:start w:val="1"/>
    </w:lvl>
  </w:abstractNum>
  <w:abstractNum w:abstractNumId="91">
    <w:nsid w:val="49DA307D"/>
    <w:multiLevelType w:val="hybridMultilevel"/>
    <w:lvl w:ilvl="0">
      <w:lvlJc w:val="left"/>
      <w:lvlText w:val="(%1)"/>
      <w:numFmt w:val="lowerLetter"/>
      <w:start w:val="27"/>
    </w:lvl>
  </w:abstractNum>
  <w:abstractNum w:abstractNumId="92">
    <w:nsid w:val="7055A5F5"/>
    <w:multiLevelType w:val="hybridMultilevel"/>
    <w:lvl w:ilvl="0">
      <w:lvlJc w:val="left"/>
      <w:lvlText w:val="%1"/>
      <w:numFmt w:val="lowerLetter"/>
      <w:start w:val="1"/>
    </w:lvl>
    <w:lvl w:ilvl="1">
      <w:lvlJc w:val="left"/>
      <w:lvlText w:val="(%2)"/>
      <w:numFmt w:val="lowerLetter"/>
      <w:start w:val="28"/>
    </w:lvl>
    <w:lvl w:ilvl="2">
      <w:lvlJc w:val="left"/>
      <w:lvlText w:val="(%3)"/>
      <w:numFmt w:val="lowerRoman"/>
      <w:start w:val="1"/>
    </w:lvl>
  </w:abstractNum>
  <w:abstractNum w:abstractNumId="93">
    <w:nsid w:val="5FB8370B"/>
    <w:multiLevelType w:val="hybridMultilevel"/>
    <w:lvl w:ilvl="0">
      <w:lvlJc w:val="left"/>
      <w:lvlText w:val="(%1)"/>
      <w:numFmt w:val="lowerLetter"/>
      <w:start w:val="4"/>
    </w:lvl>
    <w:lvl w:ilvl="1">
      <w:lvlJc w:val="left"/>
      <w:lvlText w:val="(%2)"/>
      <w:numFmt w:val="lowerLetter"/>
      <w:start w:val="30"/>
    </w:lvl>
    <w:lvl w:ilvl="2">
      <w:lvlJc w:val="left"/>
      <w:lvlText w:val="%3"/>
      <w:numFmt w:val="lowerRoman"/>
      <w:start w:val="1"/>
    </w:lvl>
  </w:abstractNum>
  <w:abstractNum w:abstractNumId="94">
    <w:nsid w:val="50801EE1"/>
    <w:multiLevelType w:val="hybridMultilevel"/>
    <w:lvl w:ilvl="0">
      <w:lvlJc w:val="left"/>
      <w:lvlText w:val="%1"/>
      <w:numFmt w:val="decimal"/>
      <w:start w:val="1"/>
    </w:lvl>
    <w:lvl w:ilvl="1">
      <w:lvlJc w:val="left"/>
      <w:lvlText w:val="(%2)"/>
      <w:numFmt w:val="lowerLetter"/>
      <w:start w:val="36"/>
    </w:lvl>
  </w:abstractNum>
  <w:abstractNum w:abstractNumId="95">
    <w:nsid w:val="488AC1A"/>
    <w:multiLevelType w:val="hybridMultilevel"/>
    <w:lvl w:ilvl="0">
      <w:lvlJc w:val="left"/>
      <w:lvlText w:val="(%1)"/>
      <w:numFmt w:val="decimal"/>
      <w:start w:val="3"/>
    </w:lvl>
    <w:lvl w:ilvl="1">
      <w:lvlJc w:val="left"/>
      <w:lvlText w:val="%2"/>
      <w:numFmt w:val="lowerLetter"/>
      <w:start w:val="1"/>
    </w:lvl>
  </w:abstractNum>
  <w:abstractNum w:abstractNumId="96">
    <w:nsid w:val="5FB8011C"/>
    <w:multiLevelType w:val="hybridMultilevel"/>
    <w:lvl w:ilvl="0">
      <w:lvlJc w:val="left"/>
      <w:lvlText w:val="(%1)"/>
      <w:numFmt w:val="lowerLetter"/>
      <w:start w:val="46"/>
    </w:lvl>
  </w:abstractNum>
  <w:abstractNum w:abstractNumId="97">
    <w:nsid w:val="6AA78F7F"/>
    <w:multiLevelType w:val="hybridMultilevel"/>
    <w:lvl w:ilvl="0">
      <w:lvlJc w:val="left"/>
      <w:lvlText w:val="(%1)"/>
      <w:numFmt w:val="lowerLetter"/>
      <w:start w:val="53"/>
    </w:lvl>
  </w:abstractNum>
  <w:abstractNum w:abstractNumId="98">
    <w:nsid w:val="7672BD23"/>
    <w:multiLevelType w:val="hybridMultilevel"/>
    <w:lvl w:ilvl="0">
      <w:lvlJc w:val="left"/>
      <w:lvlText w:val="(%1)"/>
      <w:numFmt w:val="lowerLetter"/>
      <w:start w:val="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2022-04-15T15:35:35Z</dcterms:created>
  <dcterms:modified xsi:type="dcterms:W3CDTF">2022-04-15T15:35:35Z</dcterms:modified>
</cp:coreProperties>
</file>