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10, 2025</w:t>
      </w:r>
    </w:p>
    <w:p>
      <w:pPr>
        <w:spacing w:after="0" w:line="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w:t>
      </w:r>
    </w:p>
    <w:p>
      <w:pPr>
        <w:spacing w:after="0" w:line="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2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5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ind w:right="-419"/>
        <w:spacing w:after="0" w:line="211" w:lineRule="auto"/>
        <w:rPr>
          <w:sz w:val="20"/>
          <w:szCs w:val="20"/>
          <w:color w:val="auto"/>
        </w:rPr>
      </w:pPr>
      <w:r>
        <w:rPr>
          <w:rFonts w:ascii="Times New Roman" w:cs="Times New Roman" w:eastAsia="Times New Roman" w:hAnsi="Times New Roman"/>
          <w:sz w:val="16"/>
          <w:szCs w:val="16"/>
          <w:b w:val="1"/>
          <w:bCs w:val="1"/>
          <w:color w:val="auto"/>
        </w:rPr>
        <w:t>UNDER</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52070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9"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3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tcPr>
          <w:p>
            <w:pPr>
              <w:jc w:val="right"/>
              <w:ind w:right="1085"/>
              <w:spacing w:after="0"/>
              <w:rPr>
                <w:sz w:val="20"/>
                <w:szCs w:val="20"/>
                <w:color w:val="auto"/>
              </w:rPr>
            </w:pPr>
            <w:r>
              <w:rPr>
                <w:rFonts w:ascii="Times New Roman" w:cs="Times New Roman" w:eastAsia="Times New Roman" w:hAnsi="Times New Roman"/>
                <w:sz w:val="16"/>
                <w:szCs w:val="16"/>
                <w:b w:val="1"/>
                <w:bCs w:val="1"/>
                <w:color w:val="auto"/>
              </w:rPr>
              <w:t>45-4497941</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40" w:type="dxa"/>
            <w:vAlign w:val="bottom"/>
          </w:tcPr>
          <w:p>
            <w:pPr>
              <w:spacing w:after="0"/>
              <w:rPr>
                <w:sz w:val="14"/>
                <w:szCs w:val="14"/>
                <w:color w:val="auto"/>
              </w:rPr>
            </w:pPr>
          </w:p>
        </w:tc>
        <w:tc>
          <w:tcPr>
            <w:tcW w:w="33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74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spacing w:after="0"/>
              <w:rPr>
                <w:sz w:val="14"/>
                <w:szCs w:val="14"/>
                <w:color w:val="auto"/>
              </w:rPr>
            </w:pPr>
          </w:p>
        </w:tc>
      </w:tr>
      <w:tr>
        <w:trPr>
          <w:trHeight w:val="210"/>
        </w:trPr>
        <w:tc>
          <w:tcPr>
            <w:tcW w:w="740" w:type="dxa"/>
            <w:vAlign w:val="bottom"/>
          </w:tcPr>
          <w:p>
            <w:pPr>
              <w:spacing w:after="0"/>
              <w:rPr>
                <w:sz w:val="18"/>
                <w:szCs w:val="18"/>
                <w:color w:val="auto"/>
              </w:rPr>
            </w:pPr>
          </w:p>
        </w:tc>
        <w:tc>
          <w:tcPr>
            <w:tcW w:w="33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tc>
        <w:tc>
          <w:tcPr>
            <w:tcW w:w="17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18"/>
                <w:szCs w:val="18"/>
                <w:color w:val="auto"/>
              </w:rPr>
            </w:pPr>
          </w:p>
        </w:tc>
      </w:tr>
    </w:tbl>
    <w:p>
      <w:pPr>
        <w:spacing w:after="0" w:line="1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2450 Holcombe Blvd, Suite BCM-A, MS: BCM251</w:t>
      </w:r>
    </w:p>
    <w:p>
      <w:pPr>
        <w:ind w:left="4620"/>
        <w:spacing w:after="0" w:line="211" w:lineRule="auto"/>
        <w:rPr>
          <w:sz w:val="20"/>
          <w:szCs w:val="20"/>
          <w:color w:val="auto"/>
        </w:rPr>
      </w:pPr>
      <w:r>
        <w:rPr>
          <w:rFonts w:ascii="Times New Roman" w:cs="Times New Roman" w:eastAsia="Times New Roman" w:hAnsi="Times New Roman"/>
          <w:sz w:val="16"/>
          <w:szCs w:val="16"/>
          <w:b w:val="1"/>
          <w:bCs w:val="1"/>
          <w:color w:val="auto"/>
        </w:rPr>
        <w:t>Houston, Texas 77021</w:t>
      </w:r>
    </w:p>
    <w:p>
      <w:pPr>
        <w:ind w:left="4880"/>
        <w:spacing w:after="0" w:line="215" w:lineRule="auto"/>
        <w:rPr>
          <w:sz w:val="20"/>
          <w:szCs w:val="20"/>
          <w:color w:val="auto"/>
        </w:rPr>
      </w:pPr>
      <w:r>
        <w:rPr>
          <w:rFonts w:ascii="Times New Roman" w:cs="Times New Roman" w:eastAsia="Times New Roman" w:hAnsi="Times New Roman"/>
          <w:sz w:val="16"/>
          <w:szCs w:val="16"/>
          <w:b w:val="1"/>
          <w:bCs w:val="1"/>
          <w:color w:val="auto"/>
        </w:rPr>
        <w:t>(713) 400-6400</w:t>
      </w:r>
    </w:p>
    <w:p>
      <w:pPr>
        <w:jc w:val="center"/>
        <w:ind w:right="-4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Juan Vera</w:t>
      </w:r>
    </w:p>
    <w:p>
      <w:pPr>
        <w:ind w:left="3780"/>
        <w:spacing w:after="0" w:line="211" w:lineRule="auto"/>
        <w:rPr>
          <w:sz w:val="20"/>
          <w:szCs w:val="20"/>
          <w:color w:val="auto"/>
        </w:rPr>
      </w:pPr>
      <w:r>
        <w:rPr>
          <w:rFonts w:ascii="Times New Roman" w:cs="Times New Roman" w:eastAsia="Times New Roman" w:hAnsi="Times New Roman"/>
          <w:sz w:val="16"/>
          <w:szCs w:val="16"/>
          <w:b w:val="1"/>
          <w:bCs w:val="1"/>
          <w:color w:val="auto"/>
        </w:rPr>
        <w:t>President, Chief Executive Officer and Director</w:t>
      </w:r>
    </w:p>
    <w:p>
      <w:pPr>
        <w:ind w:left="4460"/>
        <w:spacing w:after="0" w:line="211" w:lineRule="auto"/>
        <w:rPr>
          <w:sz w:val="20"/>
          <w:szCs w:val="20"/>
          <w:color w:val="auto"/>
        </w:rPr>
      </w:pPr>
      <w:r>
        <w:rPr>
          <w:rFonts w:ascii="Times New Roman" w:cs="Times New Roman" w:eastAsia="Times New Roman" w:hAnsi="Times New Roman"/>
          <w:sz w:val="16"/>
          <w:szCs w:val="16"/>
          <w:b w:val="1"/>
          <w:bCs w:val="1"/>
          <w:color w:val="auto"/>
        </w:rPr>
        <w:t>Marker Therapeutics, Inc.</w:t>
      </w:r>
    </w:p>
    <w:p>
      <w:pPr>
        <w:ind w:left="3660"/>
        <w:spacing w:after="0" w:line="211" w:lineRule="auto"/>
        <w:rPr>
          <w:sz w:val="20"/>
          <w:szCs w:val="20"/>
          <w:color w:val="auto"/>
        </w:rPr>
      </w:pPr>
      <w:r>
        <w:rPr>
          <w:rFonts w:ascii="Times New Roman" w:cs="Times New Roman" w:eastAsia="Times New Roman" w:hAnsi="Times New Roman"/>
          <w:sz w:val="16"/>
          <w:szCs w:val="16"/>
          <w:b w:val="1"/>
          <w:bCs w:val="1"/>
          <w:color w:val="auto"/>
        </w:rPr>
        <w:t>2450 Holcombe Blvd, Suite BCM-A, MS: BCM251</w:t>
      </w:r>
    </w:p>
    <w:p>
      <w:pPr>
        <w:ind w:left="4620"/>
        <w:spacing w:after="0" w:line="212" w:lineRule="auto"/>
        <w:rPr>
          <w:sz w:val="20"/>
          <w:szCs w:val="20"/>
          <w:color w:val="auto"/>
        </w:rPr>
      </w:pPr>
      <w:r>
        <w:rPr>
          <w:rFonts w:ascii="Times New Roman" w:cs="Times New Roman" w:eastAsia="Times New Roman" w:hAnsi="Times New Roman"/>
          <w:sz w:val="16"/>
          <w:szCs w:val="16"/>
          <w:b w:val="1"/>
          <w:bCs w:val="1"/>
          <w:color w:val="auto"/>
        </w:rPr>
        <w:t>Houston, Texas 77021</w:t>
      </w:r>
    </w:p>
    <w:p>
      <w:pPr>
        <w:ind w:left="4880"/>
        <w:spacing w:after="0" w:line="232" w:lineRule="auto"/>
        <w:rPr>
          <w:sz w:val="20"/>
          <w:szCs w:val="20"/>
          <w:color w:val="auto"/>
        </w:rPr>
      </w:pPr>
      <w:r>
        <w:rPr>
          <w:rFonts w:ascii="Times New Roman" w:cs="Times New Roman" w:eastAsia="Times New Roman" w:hAnsi="Times New Roman"/>
          <w:sz w:val="16"/>
          <w:szCs w:val="16"/>
          <w:b w:val="1"/>
          <w:bCs w:val="1"/>
          <w:color w:val="auto"/>
        </w:rPr>
        <w:t>(713) 400-6400</w:t>
      </w:r>
    </w:p>
    <w:p>
      <w:pPr>
        <w:jc w:val="center"/>
        <w:ind w:right="-43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3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5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Mark A. Catchur</w:t>
      </w:r>
    </w:p>
    <w:p>
      <w:pPr>
        <w:ind w:left="4780"/>
        <w:spacing w:after="0" w:line="211" w:lineRule="auto"/>
        <w:rPr>
          <w:sz w:val="20"/>
          <w:szCs w:val="20"/>
          <w:color w:val="auto"/>
        </w:rPr>
      </w:pPr>
      <w:r>
        <w:rPr>
          <w:rFonts w:ascii="Times New Roman" w:cs="Times New Roman" w:eastAsia="Times New Roman" w:hAnsi="Times New Roman"/>
          <w:sz w:val="16"/>
          <w:szCs w:val="16"/>
          <w:b w:val="1"/>
          <w:bCs w:val="1"/>
          <w:color w:val="auto"/>
        </w:rPr>
        <w:t>Julio C. Esquivel</w:t>
      </w:r>
    </w:p>
    <w:p>
      <w:pPr>
        <w:jc w:val="center"/>
        <w:ind w:right="-419"/>
        <w:spacing w:after="0" w:line="211" w:lineRule="auto"/>
        <w:rPr>
          <w:sz w:val="20"/>
          <w:szCs w:val="20"/>
          <w:color w:val="auto"/>
        </w:rPr>
      </w:pPr>
      <w:r>
        <w:rPr>
          <w:rFonts w:ascii="Times New Roman" w:cs="Times New Roman" w:eastAsia="Times New Roman" w:hAnsi="Times New Roman"/>
          <w:sz w:val="16"/>
          <w:szCs w:val="16"/>
          <w:b w:val="1"/>
          <w:bCs w:val="1"/>
          <w:color w:val="auto"/>
        </w:rPr>
        <w:t>Shumaker, Loop &amp; Kendrick, LLP</w:t>
      </w:r>
    </w:p>
    <w:p>
      <w:pPr>
        <w:jc w:val="center"/>
        <w:ind w:right="-419"/>
        <w:spacing w:after="0" w:line="211" w:lineRule="auto"/>
        <w:rPr>
          <w:sz w:val="20"/>
          <w:szCs w:val="20"/>
          <w:color w:val="auto"/>
        </w:rPr>
      </w:pPr>
      <w:r>
        <w:rPr>
          <w:rFonts w:ascii="Times New Roman" w:cs="Times New Roman" w:eastAsia="Times New Roman" w:hAnsi="Times New Roman"/>
          <w:sz w:val="16"/>
          <w:szCs w:val="16"/>
          <w:b w:val="1"/>
          <w:bCs w:val="1"/>
          <w:color w:val="auto"/>
        </w:rPr>
        <w:t>101 E. Kennedy Boulevard, Suite 2800</w:t>
      </w:r>
    </w:p>
    <w:p>
      <w:pPr>
        <w:jc w:val="center"/>
        <w:ind w:right="-419"/>
        <w:spacing w:after="0" w:line="212" w:lineRule="auto"/>
        <w:rPr>
          <w:sz w:val="20"/>
          <w:szCs w:val="20"/>
          <w:color w:val="auto"/>
        </w:rPr>
      </w:pPr>
      <w:r>
        <w:rPr>
          <w:rFonts w:ascii="Times New Roman" w:cs="Times New Roman" w:eastAsia="Times New Roman" w:hAnsi="Times New Roman"/>
          <w:sz w:val="16"/>
          <w:szCs w:val="16"/>
          <w:b w:val="1"/>
          <w:bCs w:val="1"/>
          <w:color w:val="auto"/>
        </w:rPr>
        <w:t>Tampa, Florida 33602</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(813) 229-7600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52070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46990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8" w:lineRule="exact"/>
        <w:rPr>
          <w:sz w:val="24"/>
          <w:szCs w:val="24"/>
          <w:color w:val="auto"/>
        </w:rPr>
      </w:pPr>
    </w:p>
    <w:p>
      <w:pPr>
        <w:ind w:left="500" w:right="100" w:firstLine="360"/>
        <w:spacing w:after="0" w:line="199"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left="500" w:right="300" w:firstLine="360"/>
        <w:spacing w:after="0" w:line="19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82" w:lineRule="exact"/>
        <w:rPr>
          <w:sz w:val="24"/>
          <w:szCs w:val="24"/>
          <w:color w:val="auto"/>
        </w:rPr>
      </w:pPr>
    </w:p>
    <w:p>
      <w:pPr>
        <w:ind w:left="500" w:right="20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32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500" w:right="500" w:firstLine="360"/>
        <w:spacing w:after="0" w:line="199"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80" w:firstLine="360"/>
        <w:spacing w:after="0" w:line="19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60" w:firstLine="36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182"/>
        </w:trPr>
        <w:tc>
          <w:tcPr>
            <w:tcW w:w="1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tcPr>
          <w:p>
            <w:pPr>
              <w:ind w:left="11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980" w:type="dxa"/>
            <w:vAlign w:val="bottom"/>
          </w:tcPr>
          <w:p>
            <w:pPr>
              <w:ind w:left="9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
        </w:trPr>
        <w:tc>
          <w:tcPr>
            <w:tcW w:w="172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520" w:type="dxa"/>
            <w:vAlign w:val="bottom"/>
            <w:vMerge w:val="continue"/>
          </w:tcPr>
          <w:p>
            <w:pPr>
              <w:spacing w:after="0" w:line="20" w:lineRule="exact"/>
              <w:rPr>
                <w:sz w:val="1"/>
                <w:szCs w:val="1"/>
                <w:color w:val="auto"/>
              </w:rPr>
            </w:pPr>
          </w:p>
        </w:tc>
        <w:tc>
          <w:tcPr>
            <w:tcW w:w="1220" w:type="dxa"/>
            <w:vAlign w:val="bottom"/>
            <w:vMerge w:val="restart"/>
          </w:tcPr>
          <w:p>
            <w:pPr>
              <w:ind w:left="1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980" w:type="dxa"/>
            <w:vAlign w:val="bottom"/>
            <w:vMerge w:val="restart"/>
          </w:tcPr>
          <w:p>
            <w:pPr>
              <w:ind w:left="9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49"/>
        </w:trPr>
        <w:tc>
          <w:tcPr>
            <w:tcW w:w="17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7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Non-accelerated filer</w:t>
            </w:r>
          </w:p>
        </w:tc>
        <w:tc>
          <w:tcPr>
            <w:tcW w:w="152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24"/>
                <w:szCs w:val="24"/>
                <w:color w:val="auto"/>
              </w:rPr>
            </w:pPr>
          </w:p>
        </w:tc>
        <w:tc>
          <w:tcPr>
            <w:tcW w:w="3480" w:type="dxa"/>
            <w:vAlign w:val="bottom"/>
            <w:gridSpan w:val="3"/>
          </w:tcPr>
          <w:p>
            <w:pPr>
              <w:ind w:left="1160"/>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Emerging growth company</w:t>
            </w:r>
          </w:p>
        </w:tc>
        <w:tc>
          <w:tcPr>
            <w:tcW w:w="13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9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500" w:right="700" w:firstLine="360"/>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21590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0" w:lineRule="exact"/>
        <w:rPr>
          <w:sz w:val="24"/>
          <w:szCs w:val="24"/>
          <w:color w:val="auto"/>
        </w:rPr>
      </w:pPr>
    </w:p>
    <w:p>
      <w:pPr>
        <w:ind w:left="500" w:right="60" w:firstLine="360"/>
        <w:spacing w:after="0" w:line="22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417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 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306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sell these securities until the registration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offers to buy these securities in any</w:t>
            </w:r>
          </w:p>
        </w:tc>
      </w:tr>
      <w:tr>
        <w:trPr>
          <w:trHeight w:val="174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we are not</w:t>
            </w:r>
          </w:p>
        </w:tc>
      </w:tr>
      <w:tr>
        <w:trPr>
          <w:trHeight w:val="121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i w:val="1"/>
          <w:iCs w:val="1"/>
          <w:color w:val="FC0014"/>
        </w:rPr>
        <w:t>Subject to Completion — Dated January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129540</wp:posOffset>
            </wp:positionV>
            <wp:extent cx="1825625"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56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10,062,500 Shares of Common Stock</w:t>
      </w:r>
    </w:p>
    <w:p>
      <w:pPr>
        <w:spacing w:after="0" w:line="155" w:lineRule="exact"/>
        <w:rPr>
          <w:sz w:val="20"/>
          <w:szCs w:val="20"/>
          <w:color w:val="auto"/>
        </w:rPr>
      </w:pPr>
    </w:p>
    <w:p>
      <w:pPr>
        <w:ind w:right="119" w:firstLine="36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10,062,500 shares of our common stock, by the selling stockholders identified in this prospectus under “Selling Stockholders”. Our shares of common stock covered by this prospectus (the “Covered Shares”) consist of the following: 1,783,805 shares of common stock, 3,247,445 shares of common stock issuable upon exercise of Series B Warrants (the “Pre-Funded Warrants”) to purchase one share of our common stock for $0.001 per share, and 5,031,250 shares of common stock issuable upon exercise of five-year Series A Warrants (the “Private Placement Warrants”) to purchase one share of our common stock for $4.00, which we issued in a private placement transaction (the “Private Placement”).</w:t>
      </w:r>
    </w:p>
    <w:p>
      <w:pPr>
        <w:spacing w:after="0" w:line="324" w:lineRule="exact"/>
        <w:rPr>
          <w:sz w:val="20"/>
          <w:szCs w:val="20"/>
          <w:color w:val="auto"/>
        </w:rPr>
      </w:pPr>
    </w:p>
    <w:p>
      <w:pPr>
        <w:ind w:right="119" w:firstLine="360"/>
        <w:spacing w:after="0" w:line="254" w:lineRule="auto"/>
        <w:rPr>
          <w:sz w:val="20"/>
          <w:szCs w:val="20"/>
          <w:color w:val="auto"/>
        </w:rPr>
      </w:pPr>
      <w:r>
        <w:rPr>
          <w:rFonts w:ascii="Times New Roman" w:cs="Times New Roman" w:eastAsia="Times New Roman" w:hAnsi="Times New Roman"/>
          <w:sz w:val="18"/>
          <w:szCs w:val="18"/>
          <w:color w:val="auto"/>
        </w:rPr>
        <w:t>The prices at which the selling stockholders may sell the Covered Shares will be determined by the prevailing market price for the shares or in negotiated transactions. We provide more information on how the selling stockholders may resell their respective Covered Shares in the Section titled “Plan of Distribution” beginning on page 6. We are not selling any securities under this prospectus and we will not receive proceeds from the sale of the Covered Shares by the selling stockholders. However, we may receive cash proceeds from the exercise of the Pre-Funded Warrants and the Private Placement Warrants, which if exercised for cash at the current applicable exercise price with respect to all of the Pre-Funded Warrants and Private Placement Warrants would result in aggregate gross proceeds to us of $20,128,247 million.</w:t>
      </w:r>
    </w:p>
    <w:p>
      <w:pPr>
        <w:spacing w:after="0" w:line="124" w:lineRule="exact"/>
        <w:rPr>
          <w:sz w:val="20"/>
          <w:szCs w:val="20"/>
          <w:color w:val="auto"/>
        </w:rPr>
      </w:pPr>
    </w:p>
    <w:p>
      <w:pPr>
        <w:ind w:right="679" w:firstLine="360"/>
        <w:spacing w:after="0" w:line="282" w:lineRule="auto"/>
        <w:rPr>
          <w:sz w:val="20"/>
          <w:szCs w:val="20"/>
          <w:color w:val="auto"/>
        </w:rPr>
      </w:pPr>
      <w:r>
        <w:rPr>
          <w:rFonts w:ascii="Times New Roman" w:cs="Times New Roman" w:eastAsia="Times New Roman" w:hAnsi="Times New Roman"/>
          <w:sz w:val="18"/>
          <w:szCs w:val="18"/>
          <w:color w:val="auto"/>
        </w:rPr>
        <w:t>We are obligated to pay the expenses of registering the Covered Shares, but all selling and other expenses incurred by the selling stockholders will be paid by the selling stockholder.</w:t>
      </w:r>
    </w:p>
    <w:p>
      <w:pPr>
        <w:spacing w:after="0" w:line="94" w:lineRule="exact"/>
        <w:rPr>
          <w:sz w:val="20"/>
          <w:szCs w:val="20"/>
          <w:color w:val="auto"/>
        </w:rPr>
      </w:pPr>
    </w:p>
    <w:p>
      <w:pPr>
        <w:jc w:val="both"/>
        <w:ind w:right="19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“MRKR.” On January 8, 2025, the last reported sale price of our common stock on the Nasdaq Capital Market was $2.86 per share, and we had 10,707,295 shares of common stock outstanding.</w:t>
      </w:r>
    </w:p>
    <w:p>
      <w:pPr>
        <w:spacing w:after="0" w:line="95" w:lineRule="exact"/>
        <w:rPr>
          <w:sz w:val="20"/>
          <w:szCs w:val="20"/>
          <w:color w:val="auto"/>
        </w:rPr>
      </w:pPr>
    </w:p>
    <w:p>
      <w:pPr>
        <w:ind w:right="99" w:firstLine="360"/>
        <w:spacing w:after="0" w:line="27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318" w:lineRule="exact"/>
        <w:rPr>
          <w:sz w:val="20"/>
          <w:szCs w:val="20"/>
          <w:color w:val="auto"/>
        </w:rPr>
      </w:pPr>
    </w:p>
    <w:p>
      <w:pPr>
        <w:ind w:right="1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You should review carefully the risks and uncertainties described under the heading “Risk Factors” beginning on page </w:t>
      </w:r>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color w:val="auto"/>
        </w:rPr>
        <w:t>.</w:t>
      </w:r>
    </w:p>
    <w:p>
      <w:pPr>
        <w:spacing w:after="0" w:line="87" w:lineRule="exact"/>
        <w:rPr>
          <w:sz w:val="20"/>
          <w:szCs w:val="20"/>
          <w:color w:val="auto"/>
        </w:rPr>
      </w:pPr>
    </w:p>
    <w:p>
      <w:pPr>
        <w:ind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255905</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220" w:space="36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5919470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Under this registration statement, the selling stockholders, which as used herein include donees, pledgees, transferees, distributees or other successors-in-interest selling shares of our common stock or interests in our common stock received after the date of this prospectus from the selling stockholders as a gift, pledge, partnership distribution or other transfer identified in this prospectus, may sell, at any time and from time to time, in one or more offerings, up to 10,062,500 shares of common stock. This prospectus provides a general description of the shares of our common stock the selling stockholders may offer. We are not selling any securities under this prospectus and will not receive any of the proceeds from the sale of shares by the selling stockholders. For general information about the distribution of shares of common stock offered by the selling stockholders, see the section in this prospectus titled “Plan of Distribution.”</w:t>
      </w:r>
    </w:p>
    <w:p>
      <w:pPr>
        <w:spacing w:after="0" w:line="34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or incorporated by reference in this prospectus, any applicable prospectus supplement, post-effective amendment or any related free writing prospectus.</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You should read both this prospectus and any applicable prospectus supplement together with the additional information about our company to which we refer you in the sections of this 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You should rely only on the information contained in or incorporated by reference into this prospectus and any prospectus supplement. Neither we nor the selling stockholders have authorized any dealer, salesperson or other person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33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and all of such summaries are qualified in their entirety by the actual documents they purport to summarize.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In this prospectus, all references to (i) “Marker” “we,” “us,” “our” or the “Company” collectively refers to Marker Therapeutics, Inc. (formerly known as TapImmune, Inc.) and its subsidiaries;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1361440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2" w:lineRule="exact"/>
        <w:rPr>
          <w:sz w:val="20"/>
          <w:szCs w:val="20"/>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 antigen recognizing (MAR)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BCM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MAR-T cell platform to develop future product candidates;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(including grant revenues),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 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 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340"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 T cell technology (formerly known as multi-tumor associated antigen-specific T cells, or multiTAA)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20"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for:</w:t>
      </w:r>
    </w:p>
    <w:p>
      <w:pPr>
        <w:spacing w:after="0" w:line="99"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product for the treatment of lymphoma and pancreatic cancer (MT-601)</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158"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54" w:lineRule="exact"/>
        <w:rPr>
          <w:sz w:val="20"/>
          <w:szCs w:val="20"/>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 minimized tumor immune escape</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94"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95"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On December 19, 2024, we issued a press releasing providing an updated on the progress and clinical observations from the Phase 1 APOLLO study, with a data cutoff date of September 10, 2024. Our Phase 1 APOLLO study is investigating MT-601, a MAR-T cell product, in patients with lymphoma who have relapsed after anti-CD19 chimeric antigen receptor (CAR) T cell therapy or where anti-CD19 CAR-T cells are not an option. A total of 10 patients have been treated in the study, for which clinical data is currently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 Key findings from the APOLLO study include:</w:t>
      </w:r>
    </w:p>
    <w:p>
      <w:pPr>
        <w:spacing w:after="0" w:line="323" w:lineRule="exact"/>
        <w:rPr>
          <w:sz w:val="20"/>
          <w:szCs w:val="20"/>
          <w:color w:val="auto"/>
        </w:rPr>
      </w:pPr>
    </w:p>
    <w:p>
      <w:pPr>
        <w:ind w:left="1820" w:right="41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 Infusion of MT-601 was well tolerated in all study participants, with no observation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immune-effector cell associated neurotoxicity syndrome (ICANS) and one reported Grade 1 cytokine release syndrome (CRS). No dose limiting toxicities (DLTs) have been reported to date.</w:t>
      </w:r>
    </w:p>
    <w:p>
      <w:pPr>
        <w:spacing w:after="0" w:line="76" w:lineRule="exact"/>
        <w:rPr>
          <w:rFonts w:ascii="Times New Roman" w:cs="Times New Roman" w:eastAsia="Times New Roman" w:hAnsi="Times New Roman"/>
          <w:sz w:val="18"/>
          <w:szCs w:val="18"/>
          <w:color w:val="auto"/>
        </w:rPr>
      </w:pPr>
    </w:p>
    <w:p>
      <w:pPr>
        <w:ind w:left="1820" w:right="719" w:hanging="182"/>
        <w:spacing w:after="0" w:line="28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Efficacy</w:t>
      </w:r>
      <w:r>
        <w:rPr>
          <w:rFonts w:ascii="Times New Roman" w:cs="Times New Roman" w:eastAsia="Times New Roman" w:hAnsi="Times New Roman"/>
          <w:sz w:val="18"/>
          <w:szCs w:val="18"/>
          <w:color w:val="auto"/>
        </w:rPr>
        <w:t> — In the first dose cohort, 7 out of 9 patients achieved objective responses (78%) at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assessment, with 4 patients demonstrating complete response (CR; 44.4%) (Table 1).</w:t>
      </w:r>
    </w:p>
    <w:p>
      <w:pPr>
        <w:spacing w:after="0" w:line="60" w:lineRule="exact"/>
        <w:rPr>
          <w:rFonts w:ascii="Times New Roman" w:cs="Times New Roman" w:eastAsia="Times New Roman" w:hAnsi="Times New Roman"/>
          <w:sz w:val="18"/>
          <w:szCs w:val="18"/>
          <w:color w:val="auto"/>
        </w:rPr>
      </w:pPr>
    </w:p>
    <w:p>
      <w:pPr>
        <w:ind w:left="1820" w:right="479" w:hanging="182"/>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in Follow-Up</w:t>
      </w:r>
      <w:r>
        <w:rPr>
          <w:rFonts w:ascii="Times New Roman" w:cs="Times New Roman" w:eastAsia="Times New Roman" w:hAnsi="Times New Roman"/>
          <w:sz w:val="18"/>
          <w:szCs w:val="18"/>
          <w:color w:val="auto"/>
        </w:rPr>
        <w:t> — Long-term follow-up of 6 to 12 months is currently available for three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2). Ongoing follow-up visits are being conducted to assess the durability of responses. All study participants are monitored closely to ensure comprehensive data collection and patient safety.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Table 1: MT-601 shows objective responses at first disease assessment.</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Response Rate at First</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6"/>
              </w:rPr>
              <w:t>No. of Patients Treated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gridSpan w:val="6"/>
          </w:tcPr>
          <w:p>
            <w:pPr>
              <w:ind w:left="1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No. Prior Lines of Therapy   </w:t>
            </w:r>
            <w:r>
              <w:rPr>
                <w:rFonts w:ascii="Times New Roman" w:cs="Times New Roman" w:eastAsia="Times New Roman" w:hAnsi="Times New Roman"/>
                <w:sz w:val="24"/>
                <w:szCs w:val="24"/>
                <w:b w:val="1"/>
                <w:bCs w:val="1"/>
                <w:color w:val="auto"/>
                <w:vertAlign w:val="subscript"/>
              </w:rPr>
              <w:t>​ ​</w:t>
            </w: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Assessment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 at First Assessment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 – 12</w:t>
            </w:r>
          </w:p>
        </w:tc>
        <w:tc>
          <w:tcPr>
            <w:tcW w:w="500" w:type="dxa"/>
            <w:vAlign w:val="bottom"/>
            <w:tcBorders>
              <w:top w:val="single" w:sz="8" w:color="auto"/>
            </w:tcBorders>
          </w:tcPr>
          <w:p>
            <w:pPr>
              <w:spacing w:after="0"/>
              <w:rPr>
                <w:sz w:val="21"/>
                <w:szCs w:val="21"/>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center"/>
              <w:ind w:left="139"/>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468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CR, Complete Response. Data as of September 10, 2024.</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610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auto"/>
              </w:rPr>
              <w:t>Table 2: Duration of patient follow-up in Phase 1 APOLLO study;</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8"/>
              </w:rPr>
              <w:t>Longest Follow-Up</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Patients</w:t>
            </w:r>
          </w:p>
        </w:tc>
        <w:tc>
          <w:tcPr>
            <w:tcW w:w="7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24"/>
                <w:szCs w:val="24"/>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w w:val="99"/>
              </w:rPr>
              <w:t>Clinical Response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1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center"/>
              <w:ind w:left="456"/>
              <w:spacing w:after="0" w:line="205" w:lineRule="exact"/>
              <w:rPr>
                <w:sz w:val="20"/>
                <w:szCs w:val="20"/>
                <w:color w:val="auto"/>
              </w:rPr>
            </w:pPr>
            <w:r>
              <w:rPr>
                <w:rFonts w:ascii="Times New Roman" w:cs="Times New Roman" w:eastAsia="Times New Roman" w:hAnsi="Times New Roman"/>
                <w:sz w:val="18"/>
                <w:szCs w:val="18"/>
                <w:color w:val="auto"/>
              </w:rPr>
              <w:t>≥ 12 months</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center"/>
              <w:ind w:left="435"/>
              <w:spacing w:after="0" w:line="205" w:lineRule="exact"/>
              <w:rPr>
                <w:sz w:val="20"/>
                <w:szCs w:val="20"/>
                <w:color w:val="auto"/>
              </w:rPr>
            </w:pPr>
            <w:r>
              <w:rPr>
                <w:rFonts w:ascii="Times New Roman" w:cs="Times New Roman" w:eastAsia="Times New Roman" w:hAnsi="Times New Roman"/>
                <w:sz w:val="18"/>
                <w:szCs w:val="18"/>
                <w:color w:val="auto"/>
                <w:w w:val="88"/>
              </w:rPr>
              <w:t>1</w:t>
            </w:r>
          </w:p>
        </w:tc>
        <w:tc>
          <w:tcPr>
            <w:tcW w:w="4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center"/>
              <w:ind w:right="616"/>
              <w:spacing w:after="0" w:line="205" w:lineRule="exact"/>
              <w:rPr>
                <w:sz w:val="20"/>
                <w:szCs w:val="20"/>
                <w:color w:val="auto"/>
              </w:rPr>
            </w:pPr>
            <w:r>
              <w:rPr>
                <w:rFonts w:ascii="Times New Roman" w:cs="Times New Roman" w:eastAsia="Times New Roman" w:hAnsi="Times New Roman"/>
                <w:sz w:val="18"/>
                <w:szCs w:val="18"/>
                <w:color w:val="auto"/>
              </w:rPr>
              <w:t>CR</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 6 months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ind w:left="435"/>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8"/>
                <w:szCs w:val="18"/>
                <w:color w:val="auto"/>
              </w:rPr>
              <w:t>CR, PR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1 – 4 months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center"/>
              <w:ind w:left="435"/>
              <w:spacing w:after="0"/>
              <w:rPr>
                <w:sz w:val="20"/>
                <w:szCs w:val="20"/>
                <w:color w:val="auto"/>
              </w:rPr>
            </w:pPr>
            <w:r>
              <w:rPr>
                <w:rFonts w:ascii="Times New Roman" w:cs="Times New Roman" w:eastAsia="Times New Roman" w:hAnsi="Times New Roman"/>
                <w:sz w:val="18"/>
                <w:szCs w:val="18"/>
                <w:color w:val="auto"/>
                <w:w w:val="88"/>
              </w:rPr>
              <w:t>4</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c>
          <w:tcPr>
            <w:tcW w:w="1880" w:type="dxa"/>
            <w:vAlign w:val="bottom"/>
          </w:tcPr>
          <w:p>
            <w:pPr>
              <w:jc w:val="center"/>
              <w:ind w:right="616"/>
              <w:spacing w:after="0"/>
              <w:rPr>
                <w:sz w:val="20"/>
                <w:szCs w:val="20"/>
                <w:color w:val="auto"/>
              </w:rPr>
            </w:pPr>
            <w:r>
              <w:rPr>
                <w:rFonts w:ascii="Times New Roman" w:cs="Times New Roman" w:eastAsia="Times New Roman" w:hAnsi="Times New Roman"/>
                <w:sz w:val="18"/>
                <w:szCs w:val="18"/>
                <w:color w:val="auto"/>
              </w:rPr>
              <w:t>CR, PR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CR, Complete Response; PR, Partial Response. Data as of September 10, 2024.</w:t>
      </w:r>
    </w:p>
    <w:p>
      <w:pPr>
        <w:spacing w:after="0" w:line="160" w:lineRule="exact"/>
        <w:rPr>
          <w:sz w:val="20"/>
          <w:szCs w:val="20"/>
          <w:color w:val="auto"/>
        </w:rPr>
      </w:pPr>
    </w:p>
    <w:p>
      <w:pPr>
        <w:ind w:left="1280" w:right="479" w:firstLine="360"/>
        <w:spacing w:after="0" w:line="244" w:lineRule="auto"/>
        <w:rPr>
          <w:sz w:val="20"/>
          <w:szCs w:val="20"/>
          <w:color w:val="auto"/>
        </w:rPr>
      </w:pPr>
      <w:r>
        <w:rPr>
          <w:rFonts w:ascii="Times New Roman" w:cs="Times New Roman" w:eastAsia="Times New Roman" w:hAnsi="Times New Roman"/>
          <w:sz w:val="18"/>
          <w:szCs w:val="18"/>
          <w:color w:val="auto"/>
        </w:rPr>
        <w:t>Although CD19-targeting CAR-T cell therapies have gained acceptance as treatment for patients with lymphoma, 40-60% of patients relapse within the first year of treatment (</w:t>
      </w:r>
      <w:r>
        <w:rPr>
          <w:rFonts w:ascii="Times New Roman" w:cs="Times New Roman" w:eastAsia="Times New Roman" w:hAnsi="Times New Roman"/>
          <w:sz w:val="18"/>
          <w:szCs w:val="18"/>
          <w:u w:val="single" w:color="auto"/>
          <w:color w:val="auto"/>
        </w:rPr>
        <w:t>Chong et al, N Engl J Med,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Neelapu et al, Blood, 2023</w:t>
      </w:r>
      <w:r>
        <w:rPr>
          <w:rFonts w:ascii="Times New Roman" w:cs="Times New Roman" w:eastAsia="Times New Roman" w:hAnsi="Times New Roman"/>
          <w:sz w:val="18"/>
          <w:szCs w:val="18"/>
          <w:color w:val="auto"/>
        </w:rPr>
        <w:t>.) .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w:t>
      </w:r>
      <w:r>
        <w:rPr>
          <w:rFonts w:ascii="Times New Roman" w:cs="Times New Roman" w:eastAsia="Times New Roman" w:hAnsi="Times New Roman"/>
          <w:sz w:val="18"/>
          <w:szCs w:val="18"/>
          <w:u w:val="single" w:color="auto"/>
          <w:color w:val="auto"/>
        </w:rPr>
        <w:t>U.S. Food and Drug Administration, November 28, 2023</w:t>
      </w:r>
      <w:r>
        <w:rPr>
          <w:rFonts w:ascii="Times New Roman" w:cs="Times New Roman" w:eastAsia="Times New Roman" w:hAnsi="Times New Roman"/>
          <w:sz w:val="18"/>
          <w:szCs w:val="18"/>
          <w:color w:val="auto"/>
        </w:rPr>
        <w:t>).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16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 Suite BCM-A, MS: BCM251, Houston, Texas 77021,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819" w:firstLine="36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until we have a non-affiliate public float in excess of $250 million and annual revenues in excess of</w:t>
      </w:r>
    </w:p>
    <w:p>
      <w:pPr>
        <w:spacing w:after="0" w:line="27" w:lineRule="exact"/>
        <w:rPr>
          <w:sz w:val="20"/>
          <w:szCs w:val="20"/>
          <w:color w:val="auto"/>
        </w:rPr>
      </w:pPr>
    </w:p>
    <w:p>
      <w:pPr>
        <w:ind w:left="1280" w:right="619"/>
        <w:spacing w:after="0"/>
        <w:rPr>
          <w:sz w:val="20"/>
          <w:szCs w:val="20"/>
          <w:color w:val="auto"/>
        </w:rPr>
      </w:pPr>
      <w:r>
        <w:rPr>
          <w:rFonts w:ascii="Times New Roman" w:cs="Times New Roman" w:eastAsia="Times New Roman" w:hAnsi="Times New Roman"/>
          <w:sz w:val="18"/>
          <w:szCs w:val="18"/>
          <w:color w:val="auto"/>
        </w:rPr>
        <w:t>$100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90" w:lineRule="exact"/>
        <w:rPr>
          <w:sz w:val="20"/>
          <w:szCs w:val="20"/>
          <w:color w:val="auto"/>
        </w:rPr>
      </w:pPr>
    </w:p>
    <w:p>
      <w:pPr>
        <w:jc w:val="both"/>
        <w:ind w:left="1820" w:right="399" w:hanging="182"/>
        <w:spacing w:after="0" w:line="26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4"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62"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On December 19, 2024, we entered into a Securities Purchase Agreement, or the Purchase Agreement, with the selling stockholders named in this prospectus, pursuant to which we issued and sold in a private Placement the following securities to the selling stockholders: (i) 1,783,805 shares of our common stock,</w:t>
      </w:r>
    </w:p>
    <w:p>
      <w:pPr>
        <w:spacing w:after="0" w:line="2" w:lineRule="exact"/>
        <w:rPr>
          <w:sz w:val="20"/>
          <w:szCs w:val="20"/>
          <w:color w:val="auto"/>
        </w:rPr>
      </w:pPr>
    </w:p>
    <w:p>
      <w:pPr>
        <w:ind w:left="1280" w:right="419" w:hanging="2"/>
        <w:spacing w:after="0" w:line="241" w:lineRule="auto"/>
        <w:tabs>
          <w:tab w:leader="none" w:pos="15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Our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w:t>
      </w:r>
    </w:p>
    <w:p>
      <w:pPr>
        <w:spacing w:after="0" w:line="121"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the Purchase Agreement, the Company is obligated to call a meeting of its stockholders to obtain stockholder approval, or Stockholder Approval, for the issuance of the shares issuable upon exercise of the Private Placement Warrants and Pre-Funded Warrants, which we collectively refer to as the Warrants, within 90 days of the closing date. If the Stockholder Approval is not obtained at such meeting, the Company is required to cause an additional stockholder meeting to be held on or prior to the 180th day after the closing date, and, if despite the Company’s reasonable best efforts the Stockholder Approval is not obtained after such subsequent stockholder meeting, the Company is required to cause an additional stockholder meeting to be held semi -annual thereafter until such Stockholder Approval is obtained. 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333"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have a term of five years commencing upon the date that the Stockholder Approval is obtained. The Pre-Funded warrants are exercisable at a price of $0.001 per share and the Private Placement Warrants have an exercise price of $4.00 per share.</w:t>
      </w:r>
    </w:p>
    <w:p>
      <w:pPr>
        <w:spacing w:after="0" w:line="110" w:lineRule="exact"/>
        <w:rPr>
          <w:sz w:val="20"/>
          <w:szCs w:val="20"/>
          <w:color w:val="auto"/>
        </w:rPr>
      </w:pPr>
    </w:p>
    <w:p>
      <w:pPr>
        <w:ind w:left="1280" w:right="579" w:firstLine="360"/>
        <w:spacing w:after="0" w:line="243" w:lineRule="auto"/>
        <w:rPr>
          <w:sz w:val="20"/>
          <w:szCs w:val="20"/>
          <w:color w:val="auto"/>
        </w:rPr>
      </w:pPr>
      <w:r>
        <w:rPr>
          <w:rFonts w:ascii="Times New Roman" w:cs="Times New Roman" w:eastAsia="Times New Roman" w:hAnsi="Times New Roman"/>
          <w:sz w:val="18"/>
          <w:szCs w:val="18"/>
          <w:color w:val="auto"/>
        </w:rPr>
        <w:t>We may not effect the exercise of any Private Placement Warrant or Pre-Funded Warrant and a holder will not be entitled to request the exercise of any portion of any Private Placement Warrant or Pre-Funded Warrant if, upon giving effect to such exercise, the aggregate number of shares of our common stock beneficially owned by the holder (together with its affiliates and other specified parties) would exceed 4.99%, 9.99% or 19.99%, as applicable to each holder, of the number of shares of our common stock outstanding immediately after giving effect to the exercise, or the Beneficial Ownership Limitation. A holder may reset the Beneficial Ownership Limitation as to itself to a higher percentage (not to exceed 19.99%), effective 61 days after written notice to us.</w:t>
      </w:r>
    </w:p>
    <w:p>
      <w:pPr>
        <w:spacing w:after="0" w:line="119"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or the Registration Rights Agreement, with the selling stockholders named in this prospectus pursuant to which we agreed to prepare and file, no later than January 14, 2025, a registration statement with the SEC to register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resale of the following shares (i) shares of our common stock issued in the Private Placement and</w:t>
      </w:r>
    </w:p>
    <w:p>
      <w:pPr>
        <w:spacing w:after="0" w:line="27" w:lineRule="exact"/>
        <w:rPr>
          <w:sz w:val="20"/>
          <w:szCs w:val="20"/>
          <w:color w:val="auto"/>
        </w:rPr>
      </w:pPr>
    </w:p>
    <w:p>
      <w:pPr>
        <w:ind w:left="1280" w:right="419" w:hanging="2"/>
        <w:spacing w:after="0" w:line="252" w:lineRule="auto"/>
        <w:tabs>
          <w:tab w:leader="none" w:pos="1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exercise of the Private Placement Warrants and Pre-Funded Warrants issued in the Private Placement, which we collectively refer to as the Covered Shares, and to use best efforts to cause such registration statement to become effective as promptly as practical thereafter, and in any event no later than the earlier of (A) February 14, 2024 and (B) the second business day after the date the Company is notified by the SEC that the Registration Statement will not be reviewed or will not be subject to further review.</w:t>
      </w:r>
    </w:p>
    <w:p>
      <w:pPr>
        <w:spacing w:after="0" w:line="122" w:lineRule="exact"/>
        <w:rPr>
          <w:sz w:val="20"/>
          <w:szCs w:val="20"/>
          <w:color w:val="auto"/>
        </w:rPr>
      </w:pPr>
    </w:p>
    <w:p>
      <w:pPr>
        <w:ind w:left="1280" w:right="519" w:firstLine="360"/>
        <w:spacing w:after="0" w:line="282" w:lineRule="auto"/>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auto"/>
          </w:rPr>
          <w:t xml:space="preserve">For more information regarding the Private Placement, see our Current Report on </w:t>
        </w:r>
        <w:r>
          <w:rPr>
            <w:rFonts w:ascii="Times New Roman" w:cs="Times New Roman" w:eastAsia="Times New Roman" w:hAnsi="Times New Roman"/>
            <w:sz w:val="18"/>
            <w:szCs w:val="18"/>
            <w:u w:val="single" w:color="auto"/>
            <w:color w:val="0000EE"/>
          </w:rPr>
          <w:t>Form 8-K filed with</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the SEC on December 23,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incorporated herein by reference.</w:t>
        </w:r>
      </w:hyperlink>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117" w:lineRule="exact"/>
        <w:rPr>
          <w:sz w:val="20"/>
          <w:szCs w:val="20"/>
          <w:color w:val="auto"/>
        </w:rPr>
      </w:pPr>
    </w:p>
    <w:p>
      <w:pPr>
        <w:ind w:left="1460" w:right="2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after the offering</w:t>
      </w:r>
    </w:p>
    <w:p>
      <w:pPr>
        <w:spacing w:after="0" w:line="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Terms of the offering</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10,707,295 shares as of January 10, 2025</w:t>
      </w:r>
    </w:p>
    <w:p>
      <w:pPr>
        <w:spacing w:after="0" w:line="333" w:lineRule="exact"/>
        <w:rPr>
          <w:sz w:val="20"/>
          <w:szCs w:val="20"/>
          <w:color w:val="auto"/>
        </w:rPr>
      </w:pPr>
    </w:p>
    <w:p>
      <w:pPr>
        <w:ind w:right="439"/>
        <w:spacing w:after="0" w:line="254" w:lineRule="auto"/>
        <w:rPr>
          <w:sz w:val="20"/>
          <w:szCs w:val="20"/>
          <w:color w:val="auto"/>
        </w:rPr>
      </w:pPr>
      <w:r>
        <w:rPr>
          <w:rFonts w:ascii="Times New Roman" w:cs="Times New Roman" w:eastAsia="Times New Roman" w:hAnsi="Times New Roman"/>
          <w:sz w:val="18"/>
          <w:szCs w:val="18"/>
          <w:color w:val="auto"/>
        </w:rPr>
        <w:t>10,062,500 shares consisting of (i) 1,783,805 shares of our common stock held by the selling stockholders, (ii) 3,247,445 shares of our common stock issuable upon exercise of outstanding Pre-Funded Warrants to purchase shares of our common stock held by the selling stockholders and (iii) 5,031,250 shares of common stock issuable upon the exercise of outstanding Private Placement Warrants held by the selling stockholders, which we collectively refer to as the Covered Shares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18,985,990 shares</w:t>
      </w:r>
      <w:r>
        <w:rPr>
          <w:rFonts w:ascii="Times New Roman" w:cs="Times New Roman" w:eastAsia="Times New Roman" w:hAnsi="Times New Roman"/>
          <w:sz w:val="26"/>
          <w:szCs w:val="26"/>
          <w:color w:val="auto"/>
          <w:vertAlign w:val="superscript"/>
        </w:rPr>
        <w:t>(1)</w:t>
      </w:r>
    </w:p>
    <w:p>
      <w:pPr>
        <w:spacing w:after="0" w:line="60"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“Plan of Distribution.”</w:t>
      </w:r>
    </w:p>
    <w:p>
      <w:pPr>
        <w:spacing w:after="0" w:line="68" w:lineRule="exact"/>
        <w:rPr>
          <w:sz w:val="20"/>
          <w:szCs w:val="20"/>
          <w:color w:val="auto"/>
        </w:rPr>
      </w:pPr>
    </w:p>
    <w:p>
      <w:pPr>
        <w:ind w:right="43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 We will, however, receive the following net proceeds of any Warrants exercised for cash (to the extent the registration statement of which this prospectus is a part is then effective and, if applicable, the “cashless exercise” provision is not utilized by the holder):</w:t>
      </w:r>
    </w:p>
    <w:p>
      <w:pPr>
        <w:spacing w:after="0" w:line="106" w:lineRule="exact"/>
        <w:rPr>
          <w:sz w:val="20"/>
          <w:szCs w:val="20"/>
          <w:color w:val="auto"/>
        </w:rPr>
      </w:pPr>
    </w:p>
    <w:p>
      <w:pPr>
        <w:ind w:left="360" w:right="939" w:hanging="358"/>
        <w:spacing w:after="0" w:line="28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$3,247 if the outstanding Pre-Funded Warrants are exercised; and</w:t>
      </w:r>
    </w:p>
    <w:p>
      <w:pPr>
        <w:spacing w:after="0" w:line="67" w:lineRule="exact"/>
        <w:rPr>
          <w:rFonts w:ascii="Times New Roman" w:cs="Times New Roman" w:eastAsia="Times New Roman" w:hAnsi="Times New Roman"/>
          <w:sz w:val="18"/>
          <w:szCs w:val="18"/>
          <w:color w:val="auto"/>
        </w:rPr>
      </w:pPr>
    </w:p>
    <w:p>
      <w:pPr>
        <w:ind w:left="360" w:right="1019" w:hanging="358"/>
        <w:spacing w:after="0" w:line="282"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$20,125,000 if the outstanding Private Placement Warrants are exercised.</w:t>
      </w:r>
    </w:p>
    <w:p>
      <w:pPr>
        <w:spacing w:after="0" w:line="81" w:lineRule="exact"/>
        <w:rPr>
          <w:sz w:val="20"/>
          <w:szCs w:val="20"/>
          <w:color w:val="auto"/>
        </w:rPr>
      </w:pPr>
    </w:p>
    <w:p>
      <w:pPr>
        <w:ind w:right="399"/>
        <w:spacing w:after="0" w:line="250" w:lineRule="auto"/>
        <w:rPr>
          <w:sz w:val="20"/>
          <w:szCs w:val="20"/>
          <w:color w:val="auto"/>
        </w:rPr>
      </w:pPr>
      <w:r>
        <w:rPr>
          <w:rFonts w:ascii="Times New Roman" w:cs="Times New Roman" w:eastAsia="Times New Roman" w:hAnsi="Times New Roman"/>
          <w:sz w:val="18"/>
          <w:szCs w:val="18"/>
          <w:color w:val="auto"/>
        </w:rPr>
        <w:t>Any cash proceeds received by us will be used for general corporate purposes and working capital or for other purposes that the Board of Directors, in their good faith, deems to be in the best interest of the Company. No assurances can be given that any of such warrants will be exercised. See “Use of Proceeds.”</w:t>
      </w:r>
    </w:p>
    <w:p>
      <w:pPr>
        <w:spacing w:after="0" w:line="69"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75"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“MRKR.”</w:t>
      </w:r>
    </w:p>
    <w:p>
      <w:pPr>
        <w:spacing w:after="0" w:line="54" w:lineRule="exact"/>
        <w:rPr>
          <w:sz w:val="20"/>
          <w:szCs w:val="20"/>
          <w:color w:val="auto"/>
        </w:rPr>
      </w:pPr>
    </w:p>
    <w:p>
      <w:pPr>
        <w:ind w:right="659"/>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fund the development and growth of our business. Therefore, we do not currently anticipate paying cash dividends on our common stock.</w:t>
      </w:r>
    </w:p>
    <w:p>
      <w:pPr>
        <w:spacing w:after="0" w:line="200" w:lineRule="exact"/>
        <w:rPr>
          <w:sz w:val="20"/>
          <w:szCs w:val="20"/>
          <w:color w:val="auto"/>
        </w:rPr>
      </w:pPr>
    </w:p>
    <w:p>
      <w:pPr>
        <w:sectPr>
          <w:pgSz w:w="11900" w:h="16838" w:orient="portrait"/>
          <w:cols w:equalWidth="0" w:num="2">
            <w:col w:w="3700" w:space="600"/>
            <w:col w:w="5579"/>
          </w:cols>
          <w:pgMar w:left="580" w:top="97" w:right="1440" w:bottom="1440" w:gutter="0" w:footer="0" w:header="0"/>
          <w:type w:val="continuous"/>
        </w:sectPr>
      </w:pPr>
    </w:p>
    <w:p>
      <w:pPr>
        <w:spacing w:after="0" w:line="111" w:lineRule="exact"/>
        <w:rPr>
          <w:sz w:val="20"/>
          <w:szCs w:val="20"/>
          <w:color w:val="auto"/>
        </w:rPr>
      </w:pPr>
    </w:p>
    <w:p>
      <w:pPr>
        <w:ind w:left="1640" w:right="459" w:hanging="362"/>
        <w:spacing w:after="0" w:line="266" w:lineRule="auto"/>
        <w:tabs>
          <w:tab w:leader="none" w:pos="1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for cash of all of the outstanding Pre-Funded Warrants and the Private Placement Warrants, for which the underlying shares of common stock are registered herein, and that we do not issue any other shares of common stock.</w:t>
      </w:r>
    </w:p>
    <w:p>
      <w:pPr>
        <w:spacing w:after="0" w:line="108"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10,062,500 shares of our common stock. Our common stock is currently listed on Nasdaq under the symbol “MRKR.” Shares of our common stock that may be offered under this prospectus will be fully paid and non-assessable. We will not receive any of the proceeds of sales by the selling stockholders of any of the common stock covered by this</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53" w:lineRule="auto"/>
        <w:rPr>
          <w:sz w:val="20"/>
          <w:szCs w:val="20"/>
          <w:color w:val="auto"/>
        </w:rPr>
      </w:pPr>
      <w:r>
        <w:rPr>
          <w:rFonts w:ascii="Times New Roman" w:cs="Times New Roman" w:eastAsia="Times New Roman" w:hAnsi="Times New Roman"/>
          <w:sz w:val="18"/>
          <w:szCs w:val="18"/>
          <w:color w:val="auto"/>
        </w:rPr>
        <w:t>prospectus. We will, however, receive the exercise price of $0.001 per share of any of the Pre-Funded Warrants exercised for cash and the exercise price of $4.00 per share of any of the Private Placement Warrants exercised for cash. Throughout this prospectus, when we refer to the shares of our common stock being registered on behalf of the selling stockholders for offer and resale, we are referring to the shares of common stock that have been issued to the selling stockholders and the shares of common stock issuable upon exercise of the Pre-Funded Warrants and Private Placement Warrants issued in the Private Placement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most recent Annual Report on Form 10-K, which is incorporated by reference into this prospectus, as updated by and in our updates to those Risk Factors in our Quarterly Reports on Form 10-Q or Current Reports on Form 8-K, following the most recent Form 10-K and that are so incorporated and the risk factors contained in </w:t>
      </w:r>
      <w:hyperlink r:id="rId42">
        <w:r>
          <w:rPr>
            <w:rFonts w:ascii="Times New Roman" w:cs="Times New Roman" w:eastAsia="Times New Roman" w:hAnsi="Times New Roman"/>
            <w:sz w:val="18"/>
            <w:szCs w:val="18"/>
            <w:i w:val="1"/>
            <w:iCs w:val="1"/>
            <w:u w:val="single" w:color="auto"/>
            <w:color w:val="0000EE"/>
          </w:rPr>
          <w:t>our Definitive Proxy Statement on Schedule 14A filed on April 26, 2024</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 which is incorporated herein by reference.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 In addition to such other risks, set forth below are risks related to this Offering. The occurrence of any of the events described in the risk factors referred to above or set forth below might cause you to lose all or part of your investment in the common stock.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 and Our Common Stock</w:t>
      </w:r>
    </w:p>
    <w:p>
      <w:pPr>
        <w:spacing w:after="0" w:line="225"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sale of a substantial amount of our common stock, including resale of the shares of common stock issuable upon the exercise of the Pre-Funded Warrants and Private Placement Warrants in the public market after this offering could adversely affect the prevailing market price of our common stock and cause stockholders to experience dilution.</w:t>
      </w:r>
    </w:p>
    <w:p>
      <w:pPr>
        <w:spacing w:after="0" w:line="10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an aggregate of 10,707,295 shares of our common stock outstanding as of January 10, 2025, including 1,783,805 shares of common stock being offered pursuant to this prospectus. The Pre-Funded Warrants and Private Placement Warrants are exercisable for an aggregate of 8,278,695 shares of common stock, subject to adjustment as provided in the Pre-Funded Warrants and Private Placement Warrants. Pursuant to the registration rights granted in the Private Placement, we agreed to register the resale by the selling stockholders named herein of the shares of common stock issued in the Private Placement, as well as those issuable upon exercise of the Pre-Funded Warrants and Private Placement Warrants. Upon such registration, these registered shares will become generally available for immediate resale.</w:t>
      </w:r>
    </w:p>
    <w:p>
      <w:pPr>
        <w:spacing w:after="0" w:line="11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in the public market, or the perception that such sales might occur, could adversely affect the market price of our common stock, and the market value of our other securities, and could result in dilution to stockholders who hold our common stock. In addition, we may issue additional shares of common stock or other equity or debt securities convertible into common stock in connection with future financings, acquisitions, employee arrangements or otherwise. Any such issuances could result in substantial dilution to our stockholders and could cause our stock price to decline.</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substantial number of shares of common stock are being offered by this prospectus, and we cannot predict if and when the selling stockholders may sell such shares in the public markets. We have also registered the offer and sale of all shares of common stock that we may issue under our equity compensation plans. Furthermore,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our stock price to decline.</w:t>
      </w:r>
    </w:p>
    <w:p>
      <w:pPr>
        <w:spacing w:after="0" w:line="177"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number of outstanding warrants and the exercise of currently outstanding warrants could result in significant dilution to the holders of our common stock.</w:t>
      </w:r>
    </w:p>
    <w:p>
      <w:pPr>
        <w:spacing w:after="0" w:line="7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As of January 10, 2025, we had outstanding warrants to purchase 8,278,695 shares of our common stock. The exercise of our outstanding warrants could result in significant dilution to existing common stockholders, adversely affect the market price of our common stock and impair our ability to raise capital through the sale of additional equity securities.</w:t>
      </w:r>
    </w:p>
    <w:p>
      <w:pPr>
        <w:spacing w:after="0" w:line="3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which could subject us to securities class action litigation and our stockholders could incur substantial losses.</w:t>
      </w:r>
    </w:p>
    <w:p>
      <w:pPr>
        <w:spacing w:after="0" w:line="7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common stock could be subject to wide fluctuations in response to many risk factors listed in this section, and others beyond our control, including:</w:t>
      </w:r>
    </w:p>
    <w:p>
      <w:pPr>
        <w:spacing w:after="0" w:line="54" w:lineRule="exact"/>
        <w:rPr>
          <w:sz w:val="20"/>
          <w:szCs w:val="20"/>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development activities of our programs, or any future programs we may acquire;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5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and smaller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 If in the future any of our stockholders brought a lawsuit against us, we could incur significant legal expenses, settlement costs or damage awards that are not covered by, or exceed the limits of, our available directors’ and officers’ liability insurance, which could adversely impact our financial condition, results of operations or cash flows. Such a lawsuit could also divert the time and attention of our management.</w:t>
      </w:r>
    </w:p>
    <w:p>
      <w:pPr>
        <w:spacing w:after="0" w:line="396"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7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may be influenced to some extent by the research and reports that industry or financial analysts publish about us and our business. We do not control these analysts.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83"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internal control over financial reporting is perceived as inadequate, or that we are unable to produce timely or accurate financial statements, investors may lose confidence in our operating results and the trading price of our common stock could decline.</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As a public company, we are required, under Section 404(a) of the Sarbanes-Oxley Act of 2002, to furnish a report by management on, among other things, the effectiveness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in the future and not be detected.</w:t>
      </w:r>
    </w:p>
    <w:p>
      <w:pPr>
        <w:spacing w:after="0" w:line="191" w:lineRule="exact"/>
        <w:rPr>
          <w:sz w:val="20"/>
          <w:szCs w:val="20"/>
          <w:color w:val="auto"/>
        </w:rPr>
      </w:pPr>
    </w:p>
    <w:p>
      <w:pPr>
        <w:ind w:left="1260" w:right="8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287" w:lineRule="exact"/>
        <w:rPr>
          <w:sz w:val="20"/>
          <w:szCs w:val="20"/>
          <w:color w:val="auto"/>
        </w:rPr>
      </w:pPr>
    </w:p>
    <w:p>
      <w:pPr>
        <w:ind w:left="1800" w:right="4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w:t>
      </w:r>
    </w:p>
    <w:p>
      <w:pPr>
        <w:spacing w:after="0" w:line="278"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294"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the transaction in which the person acquired in excess of 15% of our outstanding voting stock, unless the merger or combination is approved in a prescribed manner. Furthermore, our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w:t>
      </w:r>
    </w:p>
    <w:p>
      <w:pPr>
        <w:spacing w:after="0" w:line="186"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9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stockholders. We may receive gross proceeds of up to $20,128,247 rounded to the nearest thousand dollars, if the Private Placement Warrants and Pre-Funded Warrants are exercised (to the extent the registration statement of which this prospectus is a part is then effective and, if applicable, the “cashless exercise” provision is not utilized by the holder) for cash at their applicable exercise prices. The Warrants are only exercisable on a net exercise cashless basis if there is no effective registration statement registering, or the prospectus contained therein is not available for the issuance of, the shares issuable upon exercise of common warrants. If any of the Pre-Funded Warrants or Common Warrants are exercised on a cashless basis, we would not receive any cash payment from the applicable selling stockholder upon any such exercise.</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Any cash proceeds we receive from the exercise of Warrants will be used for general corporate purposes and working capital or other purposes that our Board of Directors deems to be in our best interest. As of the date of this prospectus, we cannot specify with certainty the particular uses for the proceeds we may receive. Accordingly, we will retain broad discretion over the use of these proceeds,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prepared this prospectus to permit the selling stockholders named below to, from time to time, sell, transfer or otherwise dispose of any or all of the Covered Shares. The shares of common stock being offered by the selling stockholders are those (i) issued to the selling stockholders in the Private Placement and (ii) issuable to the selling stockholders upon exercise of the warrants issued in the Private Placement. Notwithstanding the foregoing, the selling stockholders make no representations that the shares will be offered for sale. We are registering the offer and sale of the Covered Shares to satisfy registration rights we have granted to the selling stockholders.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issued the shares to the selling stockholders pursuant to an exemption from the registration requirements of the Securities Act provided by Section 4(a)(2) thereof and Regulation D promulgated thereunder. In connection with such issuance, each of the selling stockholders represented that such stockholder was an “accredited investor,” as such term is defined in Rule 501(a) of Regulation D. Each of the selling stockholders also represented that the stockholder was acquiring the shares of our common stock for the stockholder’s own account and not on behalf of any other person and not with a view to any resale, distribution or other disposition of the shares.</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table below presents information regarding (i) the selling stockholders, (ii) the number of shares of common stock beneficially owned by each of them prior to the offering, based on their ownership of shares of common stock and Warrants, as of January 10, 2025, assuming exercise of the Warrants held by the selling stockholders on that date, without regard to any limitations on exercises, (iii) the number of shares of common stock that each of them may sell or otherwise dispose of from time to time under this prospectus and (iv) the number and percentage of the common stock the selling stockholders will own assuming all of the shares of common stock covered by this prospectus are sold by the selling stockholders. The amounts and information set forth below are based upon information provided to us by the selling stockholders, or his, her or its representatives, in Schedules 13G or 13D and other public documents filed with the SEC or on our records as of January 1, 2025.</w:t>
      </w:r>
    </w:p>
    <w:p>
      <w:pPr>
        <w:spacing w:after="0" w:line="11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Because the selling stockholders identified in the table may sell some or all of the Covered Shares, and because, other than the registration rights, there are currently no agreements, arrangements or understandings with respect to the sale of any of the Covered Shares, no estimate can be given as to the number of Covered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common stock they hold in transactions exempt from the registration requirements of the Securities Act after the date on which they acquired the Covered Shares pursuant to the Private Placement, as applicable. We have, therefore, assumed for the purposes of the following table that all the common stock covered by this prospectus will be sold by the selling stockholders.</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each person named in the table has sole voting and investment power with respect to all shares of our common stock shown in the table to be beneficially owned by such person. Except as described below in the footnotes and in “Material Relationships Between Selling Stockholders and Marker”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spacing w:after="0" w:line="32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Any prospectus supplement may add, update, substitute, or change the information contained in this prospectus, including the identity of the selling stockholders and the number of shares of common stock</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registered on its behalf. The selling stockholders may sell or otherwise transfer all, some or none of the common stock held by each of them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Enterprise Associates 16, L.P.</w:t>
      </w:r>
      <w:r>
        <w:rPr>
          <w:rFonts w:ascii="Times New Roman" w:cs="Times New Roman" w:eastAsia="Times New Roman" w:hAnsi="Times New Roman"/>
          <w:sz w:val="23"/>
          <w:szCs w:val="23"/>
          <w:b w:val="1"/>
          <w:bCs w:val="1"/>
          <w:color w:val="auto"/>
          <w:vertAlign w:val="superscript"/>
        </w:rPr>
        <w:t>(3)</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Aisling Capital IV LP</w:t>
      </w:r>
      <w:r>
        <w:rPr>
          <w:rFonts w:ascii="Times New Roman" w:cs="Times New Roman" w:eastAsia="Times New Roman" w:hAnsi="Times New Roman"/>
          <w:sz w:val="23"/>
          <w:szCs w:val="23"/>
          <w:b w:val="1"/>
          <w:bCs w:val="1"/>
          <w:color w:val="auto"/>
          <w:vertAlign w:val="superscript"/>
        </w:rPr>
        <w:t>(4)</w:t>
      </w:r>
    </w:p>
    <w:p>
      <w:pPr>
        <w:spacing w:after="0" w:line="17" w:lineRule="exact"/>
        <w:rPr>
          <w:sz w:val="20"/>
          <w:szCs w:val="20"/>
          <w:color w:val="auto"/>
        </w:rPr>
      </w:pPr>
    </w:p>
    <w:p>
      <w:pPr>
        <w:ind w:left="1440" w:right="40" w:hanging="179"/>
        <w:spacing w:after="0" w:line="248" w:lineRule="auto"/>
        <w:rPr>
          <w:sz w:val="20"/>
          <w:szCs w:val="20"/>
          <w:color w:val="auto"/>
        </w:rPr>
      </w:pPr>
      <w:r>
        <w:rPr>
          <w:rFonts w:ascii="Times New Roman" w:cs="Times New Roman" w:eastAsia="Times New Roman" w:hAnsi="Times New Roman"/>
          <w:sz w:val="18"/>
          <w:szCs w:val="18"/>
          <w:b w:val="1"/>
          <w:bCs w:val="1"/>
          <w:color w:val="auto"/>
        </w:rPr>
        <w:t>Blue Owl Healthcare Opportunities IV Public Investments LP</w:t>
      </w:r>
      <w:r>
        <w:rPr>
          <w:rFonts w:ascii="Times New Roman" w:cs="Times New Roman" w:eastAsia="Times New Roman" w:hAnsi="Times New Roman"/>
          <w:sz w:val="23"/>
          <w:szCs w:val="23"/>
          <w:b w:val="1"/>
          <w:bCs w:val="1"/>
          <w:color w:val="auto"/>
          <w:vertAlign w:val="superscript"/>
        </w:rPr>
        <w:t>(5)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Hudson Bay Master Fund Ltd.</w:t>
      </w:r>
      <w:r>
        <w:rPr>
          <w:rFonts w:ascii="Times New Roman" w:cs="Times New Roman" w:eastAsia="Times New Roman" w:hAnsi="Times New Roman"/>
          <w:sz w:val="23"/>
          <w:szCs w:val="23"/>
          <w:b w:val="1"/>
          <w:bCs w:val="1"/>
          <w:color w:val="auto"/>
          <w:vertAlign w:val="superscript"/>
        </w:rPr>
        <w:t>(6)</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Alyeska Master Fund, L.P.</w:t>
      </w:r>
      <w:r>
        <w:rPr>
          <w:rFonts w:ascii="Times New Roman" w:cs="Times New Roman" w:eastAsia="Times New Roman" w:hAnsi="Times New Roman"/>
          <w:sz w:val="23"/>
          <w:szCs w:val="23"/>
          <w:b w:val="1"/>
          <w:bCs w:val="1"/>
          <w:color w:val="auto"/>
          <w:vertAlign w:val="superscript"/>
        </w:rPr>
        <w:t>(7)</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7"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of Shares of</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6"/>
              </w:rPr>
              <w:t>Stock to be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Stock</w:t>
            </w:r>
          </w:p>
        </w:tc>
      </w:tr>
      <w:tr>
        <w:trPr>
          <w:trHeight w:val="162"/>
        </w:trPr>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Pursuant to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62"/>
        </w:trPr>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Owned Prior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this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After the</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to Offering</w:t>
            </w:r>
          </w:p>
        </w:tc>
        <w:tc>
          <w:tcPr>
            <w:tcW w:w="10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Prospectus</w:t>
            </w:r>
            <w:r>
              <w:rPr>
                <w:rFonts w:ascii="Times New Roman" w:cs="Times New Roman" w:eastAsia="Times New Roman" w:hAnsi="Times New Roman"/>
                <w:sz w:val="15"/>
                <w:szCs w:val="15"/>
                <w:b w:val="1"/>
                <w:bCs w:val="1"/>
                <w:color w:val="auto"/>
                <w:vertAlign w:val="superscript"/>
              </w:rPr>
              <w:t>(1)</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Offering</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Offering</w:t>
            </w:r>
            <w:r>
              <w:rPr>
                <w:rFonts w:ascii="Times New Roman" w:cs="Times New Roman" w:eastAsia="Times New Roman" w:hAnsi="Times New Roman"/>
                <w:sz w:val="15"/>
                <w:szCs w:val="15"/>
                <w:b w:val="1"/>
                <w:bCs w:val="1"/>
                <w:color w:val="auto"/>
                <w:vertAlign w:val="superscript"/>
              </w:rPr>
              <w:t>(1)(2)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4,196,428</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 ​​ 3,125,000​​ ​​1,071,428​​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​5.64% ​</w:t>
            </w:r>
          </w:p>
        </w:tc>
      </w:tr>
      <w:tr>
        <w:trPr>
          <w:trHeight w:val="28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376,785</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62,500​​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314,285​​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​1.66% ​</w:t>
            </w:r>
          </w:p>
        </w:tc>
      </w:tr>
      <w:tr>
        <w:trPr>
          <w:trHeight w:val="459"/>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3,125,000​​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310"/>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1,875,000​​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275"/>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1,875,000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1,875,000​​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r>
      <w:tr>
        <w:trPr>
          <w:trHeight w:val="26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​11,448,213</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​10,062,500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​1,385,713</w:t>
            </w: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-848360</wp:posOffset>
            </wp:positionV>
            <wp:extent cx="521208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-359410</wp:posOffset>
            </wp:positionV>
            <wp:extent cx="52120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-1216660</wp:posOffset>
            </wp:positionV>
            <wp:extent cx="52120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83" w:lineRule="exact"/>
        <w:rPr>
          <w:sz w:val="20"/>
          <w:szCs w:val="20"/>
          <w:color w:val="auto"/>
        </w:rPr>
      </w:pPr>
    </w:p>
    <w:p>
      <w:pPr>
        <w:sectPr>
          <w:pgSz w:w="11900" w:h="16838" w:orient="portrait"/>
          <w:cols w:equalWidth="0" w:num="2">
            <w:col w:w="4660" w:space="720"/>
            <w:col w:w="4499"/>
          </w:cols>
          <w:pgMar w:left="580" w:top="97" w:right="1440" w:bottom="1440" w:gutter="0" w:footer="0" w:header="0"/>
          <w:type w:val="continuous"/>
        </w:sectPr>
      </w:pPr>
    </w:p>
    <w:p>
      <w:pPr>
        <w:ind w:left="1620" w:right="53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and 9.9% of our outstanding common stock, as applicable.</w:t>
      </w:r>
    </w:p>
    <w:p>
      <w:pPr>
        <w:spacing w:after="0" w:line="31" w:lineRule="exact"/>
        <w:rPr>
          <w:rFonts w:ascii="Times New Roman" w:cs="Times New Roman" w:eastAsia="Times New Roman" w:hAnsi="Times New Roman"/>
          <w:sz w:val="18"/>
          <w:szCs w:val="18"/>
          <w:color w:val="auto"/>
        </w:rPr>
      </w:pPr>
    </w:p>
    <w:p>
      <w:pPr>
        <w:ind w:left="1620" w:right="639" w:hanging="360"/>
        <w:spacing w:after="0" w:line="255"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18,985,990 shares of common stock, which includes 10,707,295 shares of common stock issued and outstanding on January 10, 2025, and 8,278,695 shares of common stock being offered in this prospectus that may be issued upon exercise of the Warrants. In determining this amount, we assumed that (i) all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information obtained from a Schedule 13D/A filed on December 23, 2024 with the SEC by New Enterprise Associates 16, L.P. (“NEA 16”) and its affiliates. Consists of 1,625,678 shares of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 The Warrants held the stockholder prohibit the exercise thereof if, after giving effect to such exercise, the beneficial ownership of the stockholder, their affiliates and any person whose beneficial ownership would be attributable to such entities, would exceed 9.99%.</w:t>
      </w:r>
    </w:p>
    <w:p>
      <w:pPr>
        <w:spacing w:after="0" w:line="257"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2,968 shares of common stock held directly by Mr. Elms, (b) 323,370 shares of common stock held directly by Aisling Capital for which Mr. Elms shares voting and dispositive power, (c) 9,250 shares of common stock issuable upon exercise of stock options within 60 days and (d) 51,415 shares of common stock issuable upon exercise of Private Placement Warrants and Pre-Funded Warrants. Aisling Capital Partners IV LLC is a general partner of Aisling Capital Partners IV, LP. Steve Elms and Andrew Schiff are the managing members of Aisling Capital Partners IV LLC. By virtue of these relationships, each of Aisling Capital Partners IV, LP, Aisling Capital Partners IV LLC, may be deemed to have sole voting and dispositive power with respect to the shares of our common stock beneficially owned by Aisling Capital IV, LP. Additionally, each of Mr. Elms and Mr. Schiff may be deemed to share the power to direct the voting and the</w:t>
      </w:r>
    </w:p>
    <w:p>
      <w:pPr>
        <w:sectPr>
          <w:pgSz w:w="11900" w:h="16838" w:orient="portrait"/>
          <w:cols w:equalWidth="0" w:num="1">
            <w:col w:w="9879"/>
          </w:cols>
          <w:pgMar w:left="580" w:top="97" w:right="1440" w:bottom="1440" w:gutter="0" w:footer="0" w:header="0"/>
          <w:type w:val="continuous"/>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38" w:lineRule="auto"/>
        <w:rPr>
          <w:sz w:val="20"/>
          <w:szCs w:val="20"/>
          <w:color w:val="auto"/>
        </w:rPr>
      </w:pPr>
      <w:r>
        <w:rPr>
          <w:rFonts w:ascii="Times New Roman" w:cs="Times New Roman" w:eastAsia="Times New Roman" w:hAnsi="Times New Roman"/>
          <w:sz w:val="18"/>
          <w:szCs w:val="18"/>
          <w:color w:val="auto"/>
        </w:rPr>
        <w:t>disposition of the shares of our common stock beneficially owned by Aisling Capital IV, LP. The address of the principal business offices of each of these entities and individuals is 888 Seventh Avenue, 12th Floor, New York, New York 10106 and 489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10017. The Warrants held the stockholder prohibit the exercise thereof if, after giving effect to such exercise, the beneficial ownership of the stockholder, their affiliates and any person whose beneficial ownership would be attributable to such entities, would exceed 4.99%.</w:t>
      </w:r>
    </w:p>
    <w:p>
      <w:pPr>
        <w:spacing w:after="0" w:line="68" w:lineRule="exact"/>
        <w:rPr>
          <w:sz w:val="20"/>
          <w:szCs w:val="20"/>
          <w:color w:val="auto"/>
        </w:rPr>
      </w:pPr>
    </w:p>
    <w:p>
      <w:pPr>
        <w:ind w:left="1620" w:right="439" w:hanging="360"/>
        <w:spacing w:after="0" w:line="25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554,250 shares of common stock held directly and (ii) shares of common stock issuable upon exercise of Private Placement Warrants and Pre-Funded Warrants. The selling stockholder is offering all of the shares of common stock beneficially owned thereby in the offering. Blue Owl Healthcare Opportunities Advisors, LLC (“</w:t>
      </w:r>
      <w:r>
        <w:rPr>
          <w:rFonts w:ascii="Times New Roman" w:cs="Times New Roman" w:eastAsia="Times New Roman" w:hAnsi="Times New Roman"/>
          <w:sz w:val="18"/>
          <w:szCs w:val="18"/>
          <w:b w:val="1"/>
          <w:bCs w:val="1"/>
          <w:color w:val="auto"/>
        </w:rPr>
        <w:t>Blue Owl</w:t>
      </w:r>
      <w:r>
        <w:rPr>
          <w:rFonts w:ascii="Times New Roman" w:cs="Times New Roman" w:eastAsia="Times New Roman" w:hAnsi="Times New Roman"/>
          <w:sz w:val="18"/>
          <w:szCs w:val="18"/>
          <w:color w:val="auto"/>
        </w:rPr>
        <w:t>”) is the investment manager of Blue Owl Healthcare Opportunities IV Public Investments LP and has voting and investment power over the shares held by Blue Owl Healthcare Opportunities IV Public Investments LP. Blue Owl Healthcare Opportunities Advisors LLC exercises voting and investment power through an investment committee comprised of Kevin Raidy, Timothy Anderson, Sandip Agarwala, and Brandyn Itzkowitz, who each disclaims beneficial ownership over these securities. The address of the selling stockholder is c/o Blue Owl, Healthcare Opportunities Advisors, LLC, 399 Park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216" w:lineRule="exact"/>
        <w:rPr>
          <w:rFonts w:ascii="Times New Roman" w:cs="Times New Roman" w:eastAsia="Times New Roman" w:hAnsi="Times New Roman"/>
          <w:sz w:val="18"/>
          <w:szCs w:val="18"/>
          <w:color w:val="auto"/>
        </w:rPr>
      </w:pPr>
    </w:p>
    <w:p>
      <w:pPr>
        <w:ind w:left="1620" w:right="419" w:hanging="360"/>
        <w:spacing w:after="0" w:line="24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331,670 shares of common stock held directly and (ii) 1,543,330 shares of common stock issuable upon exercise of Private Placement Warrants and Pre-Funded Warrants. The selling stockholder is offering all of the shares of common stock beneficially owned thereby in the offering. Hudson Bay Capital Management LP (the “Investment Manager”) serves as the investment manager to Hudson Bay Master Fund Ltd., in whose name the securities reported herein are held, may be deemed to be the beneficial owner of all shares of Common Stock held by Hudson Bay Master Fund Ltd. Mr. Sander Gerber serves as the managing member of Hudson Bay Capital GP LLC, which is the general partner of the Investment Manager. The address of the selling stockholder is c/o Hudson Bay Capital Management, LP, 290 Harbor Drive,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Standford, Connecticut 06902. The Warrants held the stockholder prohibit the exercise thereof if, after giving effect to such exercise, the beneficial ownership of the stockholder, their affiliates and any person whose beneficial ownership would be attributable to such entities, would exceed 4.99%.</w:t>
      </w:r>
    </w:p>
    <w:p>
      <w:pPr>
        <w:spacing w:after="0" w:line="55"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the offering consist of (i) 332,550 shares of common stock held directly and (ii) 1,875,000 shares of common stock issuable upon exercise of Private Placement Warrants and Pre-Funded Warrants.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Illinois 60601. The Warrants held the stockholder prohibit the exercise thereof if, after giving effect to such exercise, the beneficial ownership of the stockholder, their affiliates and any person whose beneficial ownership would be attributable to such entities, would exceed 9.99%.</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Between Selling Stockholders and Marker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 with Marker Therapeutics Equity Holders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that acquired their shares of our common stock in connection with the Private Placement have entered into voting agreements. The selling stockholders that acquired their shares in the Private Placement that have entered into voting agreements are: New Enterprise Associates 16, L.P, (“NEA”) and Aisling Capital IV, LP (“Aisling”).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Designation and Observer Rights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New Enterprise Associates 16, L.P, (“NEA”), one of the Private Placement investors and a selling stockholder, has the right to designate either a board observer or a board member to our board of directors.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75" w:lineRule="auto"/>
        <w:rPr>
          <w:sz w:val="20"/>
          <w:szCs w:val="20"/>
          <w:color w:val="auto"/>
        </w:rPr>
      </w:pPr>
      <w:r>
        <w:rPr>
          <w:rFonts w:ascii="Times New Roman" w:cs="Times New Roman" w:eastAsia="Times New Roman" w:hAnsi="Times New Roman"/>
          <w:sz w:val="18"/>
          <w:szCs w:val="18"/>
          <w:color w:val="auto"/>
        </w:rPr>
        <w:t>NEA has the designation right until either (i) a Change of Control Transaction, or (ii) NEA ceases to own less than 2,500,000 Shares of the Company’s stock. NEA has designated Ali Behbahani as their board observer.</w:t>
      </w:r>
    </w:p>
    <w:p>
      <w:pPr>
        <w:spacing w:after="0" w:line="32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another investor in the Private Placement and a selling stockholder, Aisling Capital IV, LP (“Aisling”), has the right to designate a board observer, so long as Aisling holds a number of shares of our common stock that is no less than 70% of the number of shares purchased in a prior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are registering the shares of common stock issued to the selling stockholders and issuable upon exercise of Warrants (Private Placement Warrants and Pre-Funded Warrants), which we collectively refer to as the Covered Shares, issued to the selling stockholders to permit the resale of those shares of common stock by the holders of the common stock and Warrants from time to time after the date of this prospectus. We will not receive any proceeds from the sale by the selling stockholders of the shares of common stock.</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selling stockholders and any of their respective pledgees, donees, transferees, assignees or other successors-in-interest may, from time to time, sell any or all their respective shares of our common stock on any stock exchange, market or trading facility on which the shares are traded or in private transactions from time to time directly or through one or more underwriters, broker-dealers or agents, subject to certain transfer restrictions imposed upon certain of the shares of common stock covered by this prospectus. See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Such sales may be made on one or more exchanges or in the over-the -counter market or otherwise, at prices and under terms then prevailing or at prices related to the then current market price or in negotiated transactions. The selling stockholders may use any one or more of the following methods when selling shares:</w:t>
      </w:r>
    </w:p>
    <w:p>
      <w:pPr>
        <w:spacing w:after="0" w:line="77"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or market distribution in accordance with the rules of the applicable exchange or market;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at-the-market offerings;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of 1934, or amended (the “Securities Act”), or Section 4 (a)</w:t>
      </w:r>
    </w:p>
    <w:p>
      <w:pPr>
        <w:ind w:left="1260" w:right="839"/>
        <w:spacing w:after="0" w:line="260"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rather than under this prospectus, provided that such transactions meet the criteria and conform to the requirements of those provisions.</w:t>
      </w:r>
    </w:p>
    <w:p>
      <w:pPr>
        <w:spacing w:after="0" w:line="114"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certain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except as set forth in a supplement to this prospectus, in the case of an agency transaction will not be in excess of a customary brokerage commission in compliance with applicable Financial Industry Regulatory Authority, Inc., or FINRA, rules; and in the case of a principal transaction a markup or markdown in compliance with applicable FINRA rules. The maximum commission or discount to be received by any member FINRA or independent broker-dealer will not be greater than 8% of the initial gross proceeds from the sale of any security being sold.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warrants or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if necessary, the list of the selling stockholder(s) to include the pledgee, donees, transferee or other successors in interest as selling stockholders under this prospectus. The selling stockholders also may transfer and donate the shares of our common stock in other circumstances, in which case the pledgees, donees, transferees or other successors in interest will be the selling beneficial owners for purposes of this prospectus.</w:t>
      </w:r>
    </w:p>
    <w:p>
      <w:pPr>
        <w:spacing w:after="0" w:line="11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w:t>
      </w:r>
    </w:p>
    <w:p>
      <w:pPr>
        <w:spacing w:after="0" w:line="1" w:lineRule="exact"/>
        <w:rPr>
          <w:sz w:val="20"/>
          <w:szCs w:val="20"/>
          <w:color w:val="auto"/>
        </w:rPr>
      </w:pPr>
    </w:p>
    <w:p>
      <w:pPr>
        <w:ind w:left="1260" w:right="599"/>
        <w:spacing w:after="0"/>
        <w:tabs>
          <w:tab w:leader="none" w:pos="15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1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or interests therein, the selling stockholders may enter into hedging transactions with broker- 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selling stockholders and any underwriters, broker- dealers or agents that participate in the sale of the common stock or interests therein may be deemed to be “underwriters” within the meaning of Section 2(11) of the Securities Act. Any discounts, commissions, concessions or profit they earn on any resale of the shares may be underwriting discounts and commissions under the Securities Act.</w:t>
      </w:r>
    </w:p>
    <w:p>
      <w:pPr>
        <w:spacing w:after="0" w:line="11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of 1934, as amended, (the “Exchange Act”) may apply to sales of shares in the market and to the activities of the selling stockholders and their affiliates. We have advised the selling stockholders that while it is engaged in a distribution of the shares included in this prospectus it is required to comply with Regulation M promulgated under the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6" w:lineRule="auto"/>
        <w:rPr>
          <w:sz w:val="20"/>
          <w:szCs w:val="20"/>
          <w:color w:val="auto"/>
        </w:rPr>
      </w:pPr>
      <w:r>
        <w:rPr>
          <w:rFonts w:ascii="Times New Roman" w:cs="Times New Roman" w:eastAsia="Times New Roman" w:hAnsi="Times New Roman"/>
          <w:sz w:val="18"/>
          <w:szCs w:val="18"/>
          <w:color w:val="auto"/>
        </w:rPr>
        <w:t>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agreed to keep the registration statement of which this prospectus is a part effective until the earlier of (i) the date as of which all of the selling stockholders may sell all of the Covered Shares without restriction pursuant to Rule 144 under the Securities Act (including, without limitation, volume restrictions) and without the need for current public information required by Rule 144(c)(1) (or Rule 144(i)(2), if applicable) or (ii) the date on which the selling stockholders shall have sold all of the Covered Shares. We will bear all fees and expenses incurred in effecting the registration of the shares covered by this prospectus, including all fees and expenses in connection with the filing of any registration statement or prospectus supplement, fees and expenses of compliance with securities or “blue sky” laws, transfer agent fees, the maintenance of the effectiveness of the registration statement, and the listing of the shares on NASDAQ, including all registration, filing, qualification, printing, accounting and other fees and expenses, and shall be responsible for up to $10,000 of fees for one legal counsel to the selling stockholders who acquired their shares at the closing our merger, including those with respect to any review and preparation of any registration statement or prospectus supplement. The selling stockholders will pay any underwriting discounts and commissions and expenses incurred by the selling stockholders for brokerage, accounting, tax or legal services or any other expenses incurred by the selling stockholders in disposing of the shares.</w:t>
      </w:r>
    </w:p>
    <w:p>
      <w:pPr>
        <w:spacing w:after="0" w:line="11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We will indemnify the selling stockholders against certain liabilities, including some liabilities under the Securities Act, in accordance with the registration rights agreement and securities purchase agreement, as applicable, or the selling stockholders will be entitled to contribution, as applicable. We may be indemnified by the selling stockholders against certain liabilities, including some liabilities under the Securities Act, that may arise from any written information furnished to us by the selling stockholders specifically for use in this prospectus, in accordance with the related registration rights agreement and securities purchase agreement, as applicable, or we may be entitled to contribution, as applicable.</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this registration statement, of which this prospectus forms a part.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years ended December 31, 2023 and 2022, as set forth in its report included in our 2023 Annual Report on Form 10-K. Our 2023 and 2022 financial statements are incorporated by reference in reliance on Marcum LLP’s report, given on their authority as experts in accounting and auditing.</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Shumaker, Loop &amp; Kendrick, LLP, Tampa, Florida.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3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such as us, that file electronically with the SEC.</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Information contained in or accessible through our website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60">
        <w:r>
          <w:rPr>
            <w:rFonts w:ascii="Times New Roman" w:cs="Times New Roman" w:eastAsia="Times New Roman" w:hAnsi="Times New Roman"/>
            <w:sz w:val="18"/>
            <w:szCs w:val="18"/>
            <w:u w:val="single" w:color="auto"/>
            <w:color w:val="0000EE"/>
          </w:rPr>
          <w:t>our Annual Report on Form 10-K for the fiscal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March 26,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the information specifically incorporated by reference into </w:t>
        </w:r>
        <w:r>
          <w:rPr>
            <w:rFonts w:ascii="Times New Roman" w:cs="Times New Roman" w:eastAsia="Times New Roman" w:hAnsi="Times New Roman"/>
            <w:sz w:val="18"/>
            <w:szCs w:val="18"/>
            <w:u w:val="single" w:color="auto"/>
            <w:color w:val="0000EE"/>
          </w:rPr>
          <w:t>our Annual Report on Form 10-K for the</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Definitive Proxy Statement on Schedule 14A, filed with the</w:t>
        </w:r>
      </w:hyperlink>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SEC on April 26,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59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2024, June 30, 2024, </w:t>
      </w:r>
      <w:hyperlink r:id="rId61">
        <w:r>
          <w:rPr>
            <w:rFonts w:ascii="Times New Roman" w:cs="Times New Roman" w:eastAsia="Times New Roman" w:hAnsi="Times New Roman"/>
            <w:sz w:val="18"/>
            <w:szCs w:val="18"/>
            <w:color w:val="auto"/>
          </w:rPr>
          <w:t xml:space="preserve">and September 30, 2024, filed with the SEC 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800" w:right="659" w:hanging="180"/>
        <w:spacing w:after="0" w:line="266" w:lineRule="auto"/>
        <w:tabs>
          <w:tab w:leader="none" w:pos="1800" w:val="left"/>
        </w:tabs>
        <w:numPr>
          <w:ilvl w:val="0"/>
          <w:numId w:val="19"/>
        </w:numPr>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26,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June 12, 2024</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August 12, 2024</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August 14, 2024</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November 14, 2024</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December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December 19,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December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519" w:hanging="180"/>
        <w:spacing w:after="0" w:line="261"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the description of our common stock set forth in the amendment to the registration statement on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Form 8-A12B registering our common stock under Section 12 of the Exchange Act, which was filed</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with the SEC on October 17, 2018, including any amendments or reports filed for purposes of</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updating such description.</w:t>
        </w:r>
      </w:hyperlink>
    </w:p>
    <w:p>
      <w:pPr>
        <w:spacing w:after="0" w:line="99" w:lineRule="exact"/>
        <w:rPr>
          <w:rFonts w:ascii="Times New Roman" w:cs="Times New Roman" w:eastAsia="Times New Roman" w:hAnsi="Times New Roman"/>
          <w:sz w:val="18"/>
          <w:szCs w:val="18"/>
          <w:u w:val="single" w:color="auto"/>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u w:val="single" w:color="auto"/>
          <w:color w:val="0000EE"/>
        </w:rPr>
      </w:pPr>
    </w:p>
    <w:p>
      <w:pPr>
        <w:ind w:left="1260" w:right="499"/>
        <w:spacing w:after="0" w:line="253" w:lineRule="auto"/>
        <w:tabs>
          <w:tab w:leader="none" w:pos="14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21" w:lineRule="exact"/>
        <w:rPr>
          <w:rFonts w:ascii="Times New Roman" w:cs="Times New Roman" w:eastAsia="Times New Roman" w:hAnsi="Times New Roman"/>
          <w:sz w:val="18"/>
          <w:szCs w:val="18"/>
          <w:u w:val="single" w:color="auto"/>
          <w:color w:val="0000EE"/>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20" w:lineRule="exact"/>
        <w:rPr>
          <w:rFonts w:ascii="Times New Roman" w:cs="Times New Roman" w:eastAsia="Times New Roman" w:hAnsi="Times New Roman"/>
          <w:sz w:val="18"/>
          <w:szCs w:val="18"/>
          <w:u w:val="single" w:color="auto"/>
          <w:color w:val="0000EE"/>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8" w:lineRule="exact"/>
        <w:rPr>
          <w:rFonts w:ascii="Times New Roman" w:cs="Times New Roman" w:eastAsia="Times New Roman" w:hAnsi="Times New Roman"/>
          <w:sz w:val="18"/>
          <w:szCs w:val="18"/>
          <w:u w:val="single" w:color="auto"/>
          <w:color w:val="0000EE"/>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10,062,500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864235</wp:posOffset>
            </wp:positionV>
            <wp:extent cx="1825625" cy="52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8256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29"/>
          <w:szCs w:val="29"/>
          <w:b w:val="1"/>
          <w:bCs w:val="1"/>
          <w:color w:val="auto"/>
        </w:rPr>
        <w:t>Marker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975995</wp:posOffset>
            </wp:positionV>
            <wp:extent cx="12344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236220</wp:posOffset>
            </wp:positionV>
            <wp:extent cx="1234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1005840</wp:posOffset>
            </wp:positionV>
            <wp:extent cx="5212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5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4,483.06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140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Accountants’ Fees and Expenses</w:t>
            </w:r>
          </w:p>
        </w:tc>
        <w:tc>
          <w:tcPr>
            <w:tcW w:w="140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Miscellaneous Expenses</w:t>
            </w:r>
          </w:p>
        </w:tc>
        <w:tc>
          <w:tcPr>
            <w:tcW w:w="140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3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79,483.06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4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102 of the Delaware General Corporation Law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1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liabilities, losses,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provide that we will indemnify any Indemnitee who was or is a party to or threatened to be made a party to any threatened, pending or completed action or suit by or in the right of</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us to procure a judgment in our favor by reason of the fact that the Indemnitee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34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16" w:lineRule="exact"/>
        <w:rPr>
          <w:sz w:val="20"/>
          <w:szCs w:val="20"/>
          <w:color w:val="auto"/>
        </w:rPr>
      </w:pPr>
    </w:p>
    <w:p>
      <w:pPr>
        <w:ind w:left="1260" w:right="599" w:firstLine="360"/>
        <w:spacing w:after="0" w:line="275"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30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 Please read “Item 17. Undertakings” for more information on the SEC’s position regarding such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registration statement. Exhibit numbers correspond to the exhibit requirements of Regulation S-K.</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w:t>
            </w:r>
          </w:p>
        </w:tc>
        <w:tc>
          <w:tcPr>
            <w:tcW w:w="25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4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14"/>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Form </w:t>
            </w:r>
            <w:r>
              <w:rPr>
                <w:rFonts w:ascii="Times New Roman" w:cs="Times New Roman" w:eastAsia="Times New Roman" w:hAnsi="Times New Roman"/>
                <w:sz w:val="24"/>
                <w:szCs w:val="24"/>
                <w:b w:val="1"/>
                <w:bCs w:val="1"/>
                <w:color w:val="auto"/>
                <w:vertAlign w:val="subscript"/>
              </w:rPr>
              <w:t>​​</w:t>
            </w:r>
          </w:p>
        </w:tc>
        <w:tc>
          <w:tcPr>
            <w:tcW w:w="2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File no.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Exhibit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date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herewith</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27089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3.1</w:t>
      </w:r>
    </w:p>
    <w:p>
      <w:pPr>
        <w:spacing w:after="0" w:line="8" w:lineRule="exact"/>
        <w:rPr>
          <w:sz w:val="20"/>
          <w:szCs w:val="20"/>
          <w:color w:val="auto"/>
        </w:rPr>
      </w:pPr>
    </w:p>
    <w:p>
      <w:pPr>
        <w:ind w:left="1440" w:hanging="173"/>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77" w:lineRule="exact"/>
        <w:rPr>
          <w:rFonts w:ascii="Times New Roman" w:cs="Times New Roman" w:eastAsia="Times New Roman" w:hAnsi="Times New Roman"/>
          <w:sz w:val="17"/>
          <w:szCs w:val="17"/>
          <w:color w:val="auto"/>
        </w:rPr>
      </w:pPr>
    </w:p>
    <w:p>
      <w:pPr>
        <w:ind w:left="1440" w:hanging="173"/>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3.4</w:t>
      </w:r>
    </w:p>
    <w:p>
      <w:pPr>
        <w:ind w:left="1260"/>
        <w:spacing w:after="0" w:line="184" w:lineRule="auto"/>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4.1</w:t>
      </w:r>
    </w:p>
    <w:p>
      <w:pPr>
        <w:spacing w:after="0" w:line="7" w:lineRule="exact"/>
        <w:rPr>
          <w:sz w:val="20"/>
          <w:szCs w:val="20"/>
          <w:color w:val="auto"/>
        </w:rPr>
      </w:pPr>
    </w:p>
    <w:p>
      <w:pPr>
        <w:ind w:left="1440" w:hanging="173"/>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p>
    <w:p>
      <w:pPr>
        <w:spacing w:after="0" w:line="290" w:lineRule="exact"/>
        <w:rPr>
          <w:rFonts w:ascii="Times New Roman" w:cs="Times New Roman" w:eastAsia="Times New Roman" w:hAnsi="Times New Roman"/>
          <w:sz w:val="17"/>
          <w:szCs w:val="17"/>
          <w:color w:val="auto"/>
        </w:rPr>
      </w:pPr>
    </w:p>
    <w:p>
      <w:pPr>
        <w:ind w:left="1440" w:hanging="173"/>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4.4</w:t>
      </w:r>
    </w:p>
    <w:p>
      <w:pPr>
        <w:spacing w:after="0" w:line="7" w:lineRule="exact"/>
        <w:rPr>
          <w:sz w:val="20"/>
          <w:szCs w:val="20"/>
          <w:color w:val="auto"/>
        </w:rPr>
      </w:pPr>
    </w:p>
    <w:p>
      <w:pPr>
        <w:ind w:left="1440" w:hanging="173"/>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5.1</w:t>
      </w:r>
    </w:p>
    <w:p>
      <w:pPr>
        <w:spacing w:after="0" w:line="7" w:lineRule="exact"/>
        <w:rPr>
          <w:sz w:val="20"/>
          <w:szCs w:val="20"/>
          <w:color w:val="auto"/>
        </w:rPr>
      </w:pPr>
    </w:p>
    <w:p>
      <w:pPr>
        <w:ind w:left="1360" w:hanging="93"/>
        <w:spacing w:after="0"/>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p>
    <w:p>
      <w:pPr>
        <w:spacing w:after="0" w:line="290" w:lineRule="exact"/>
        <w:rPr>
          <w:rFonts w:ascii="Times New Roman" w:cs="Times New Roman" w:eastAsia="Times New Roman" w:hAnsi="Times New Roman"/>
          <w:sz w:val="17"/>
          <w:szCs w:val="17"/>
          <w:color w:val="auto"/>
        </w:rPr>
      </w:pPr>
    </w:p>
    <w:p>
      <w:pPr>
        <w:ind w:left="1360" w:hanging="93"/>
        <w:spacing w:after="0"/>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p>
    <w:p>
      <w:pPr>
        <w:spacing w:after="0" w:line="290" w:lineRule="exact"/>
        <w:rPr>
          <w:rFonts w:ascii="Times New Roman" w:cs="Times New Roman" w:eastAsia="Times New Roman" w:hAnsi="Times New Roman"/>
          <w:sz w:val="17"/>
          <w:szCs w:val="17"/>
          <w:color w:val="auto"/>
        </w:rPr>
      </w:pPr>
    </w:p>
    <w:p>
      <w:pPr>
        <w:jc w:val="both"/>
        <w:ind w:left="1260" w:firstLine="7"/>
        <w:spacing w:after="0" w:line="370" w:lineRule="auto"/>
        <w:tabs>
          <w:tab w:leader="none" w:pos="13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107</w:t>
      </w:r>
    </w:p>
    <w:p>
      <w:pPr>
        <w:spacing w:after="0" w:line="20" w:lineRule="exact"/>
        <w:rPr>
          <w:sz w:val="20"/>
          <w:szCs w:val="20"/>
          <w:color w:val="auto"/>
        </w:rPr>
      </w:pPr>
      <w:r>
        <w:rPr>
          <w:sz w:val="20"/>
          <w:szCs w:val="20"/>
          <w:color w:val="auto"/>
        </w:rPr>
        <w:br w:type="column"/>
      </w:r>
    </w:p>
    <w:p>
      <w:pPr>
        <w:ind w:left="90" w:hanging="90"/>
        <w:spacing w:after="0" w:line="183" w:lineRule="auto"/>
        <w:tabs>
          <w:tab w:leader="none" w:pos="90" w:val="left"/>
        </w:tabs>
        <w:numPr>
          <w:ilvl w:val="0"/>
          <w:numId w:val="25"/>
        </w:numPr>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33"/>
          <w:szCs w:val="33"/>
          <w:color w:val="000000"/>
          <w:vertAlign w:val="superscript"/>
        </w:rPr>
        <w:t>​​</w:t>
      </w:r>
      <w:hyperlink r:id="rId83">
        <w:r>
          <w:rPr>
            <w:rFonts w:ascii="Times New Roman" w:cs="Times New Roman" w:eastAsia="Times New Roman" w:hAnsi="Times New Roman"/>
            <w:sz w:val="17"/>
            <w:szCs w:val="17"/>
            <w:u w:val="single" w:color="auto"/>
            <w:color w:val="0000EE"/>
          </w:rPr>
          <w:t>Certificate of Incorporation of the Registrant</w:t>
        </w:r>
      </w:hyperlink>
    </w:p>
    <w:p>
      <w:pPr>
        <w:ind w:left="150" w:right="260" w:hanging="150"/>
        <w:spacing w:after="0" w:line="249" w:lineRule="auto"/>
        <w:tabs>
          <w:tab w:leader="none" w:pos="89"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84">
        <w:r>
          <w:rPr>
            <w:rFonts w:ascii="Times New Roman" w:cs="Times New Roman" w:eastAsia="Times New Roman" w:hAnsi="Times New Roman"/>
            <w:sz w:val="18"/>
            <w:szCs w:val="18"/>
            <w:u w:val="single" w:color="auto"/>
            <w:color w:val="0000EE"/>
          </w:rPr>
          <w:t>Certificate of Amendment to Certificate of</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Incorporation of the Registrant</w:t>
        </w:r>
      </w:hyperlink>
    </w:p>
    <w:p>
      <w:pPr>
        <w:ind w:left="150" w:right="260" w:hanging="150"/>
        <w:spacing w:after="0" w:line="273" w:lineRule="auto"/>
        <w:tabs>
          <w:tab w:leader="none" w:pos="89"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85">
        <w:r>
          <w:rPr>
            <w:rFonts w:ascii="Times New Roman" w:cs="Times New Roman" w:eastAsia="Times New Roman" w:hAnsi="Times New Roman"/>
            <w:sz w:val="18"/>
            <w:szCs w:val="18"/>
            <w:u w:val="single" w:color="auto"/>
            <w:color w:val="0000EE"/>
          </w:rPr>
          <w:t>Certificate of Amendment to Certificate of</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Incorporation of the Registrant</w:t>
        </w:r>
      </w:hyperlink>
    </w:p>
    <w:p>
      <w:pPr>
        <w:spacing w:after="0" w:line="1" w:lineRule="exact"/>
        <w:rPr>
          <w:rFonts w:ascii="Times New Roman" w:cs="Times New Roman" w:eastAsia="Times New Roman" w:hAnsi="Times New Roman"/>
          <w:sz w:val="18"/>
          <w:szCs w:val="18"/>
          <w:u w:val="single" w:color="auto"/>
          <w:color w:val="0000EE"/>
        </w:rPr>
      </w:pPr>
    </w:p>
    <w:p>
      <w:pPr>
        <w:ind w:left="90" w:hanging="90"/>
        <w:spacing w:after="0" w:line="188" w:lineRule="auto"/>
        <w:tabs>
          <w:tab w:leader="none" w:pos="90" w:val="left"/>
        </w:tabs>
        <w:numPr>
          <w:ilvl w:val="0"/>
          <w:numId w:val="25"/>
        </w:numPr>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35"/>
          <w:szCs w:val="35"/>
          <w:color w:val="000000"/>
          <w:vertAlign w:val="superscript"/>
        </w:rPr>
        <w:t>​​</w:t>
      </w:r>
      <w:hyperlink r:id="rId86">
        <w:r>
          <w:rPr>
            <w:rFonts w:ascii="Times New Roman" w:cs="Times New Roman" w:eastAsia="Times New Roman" w:hAnsi="Times New Roman"/>
            <w:sz w:val="18"/>
            <w:szCs w:val="18"/>
            <w:u w:val="single" w:color="auto"/>
            <w:color w:val="0000EE"/>
          </w:rPr>
          <w:t>Bylaws of the Registrant</w:t>
        </w:r>
      </w:hyperlink>
    </w:p>
    <w:p>
      <w:pPr>
        <w:spacing w:after="0" w:line="1" w:lineRule="exact"/>
        <w:rPr>
          <w:rFonts w:ascii="Times New Roman" w:cs="Times New Roman" w:eastAsia="Times New Roman" w:hAnsi="Times New Roman"/>
          <w:sz w:val="18"/>
          <w:szCs w:val="18"/>
          <w:color w:val="0000EE"/>
        </w:rPr>
      </w:pPr>
    </w:p>
    <w:p>
      <w:pPr>
        <w:ind w:left="90" w:hanging="90"/>
        <w:spacing w:after="0" w:line="184" w:lineRule="auto"/>
        <w:tabs>
          <w:tab w:leader="none" w:pos="90" w:val="left"/>
        </w:tabs>
        <w:numPr>
          <w:ilvl w:val="0"/>
          <w:numId w:val="25"/>
        </w:numPr>
        <w:rPr>
          <w:rFonts w:ascii="Times New Roman" w:cs="Times New Roman" w:eastAsia="Times New Roman" w:hAnsi="Times New Roman"/>
          <w:sz w:val="15"/>
          <w:szCs w:val="15"/>
          <w:color w:val="0000EE"/>
        </w:rPr>
      </w:pPr>
      <w:hyperlink r:id="rId87"/>
      <w:r>
        <w:rPr>
          <w:rFonts w:ascii="Times New Roman" w:cs="Times New Roman" w:eastAsia="Times New Roman" w:hAnsi="Times New Roman"/>
          <w:sz w:val="28"/>
          <w:szCs w:val="28"/>
          <w:color w:val="000000"/>
          <w:vertAlign w:val="superscript"/>
        </w:rPr>
        <w:t>​​</w:t>
      </w:r>
      <w:hyperlink r:id="rId87">
        <w:r>
          <w:rPr>
            <w:rFonts w:ascii="Times New Roman" w:cs="Times New Roman" w:eastAsia="Times New Roman" w:hAnsi="Times New Roman"/>
            <w:sz w:val="15"/>
            <w:szCs w:val="15"/>
            <w:u w:val="single" w:color="auto"/>
            <w:color w:val="0000EE"/>
          </w:rPr>
          <w:t>Form of Securities Purchase Agreement</w:t>
        </w:r>
      </w:hyperlink>
    </w:p>
    <w:p>
      <w:pPr>
        <w:ind w:left="150" w:right="560" w:hanging="150"/>
        <w:spacing w:after="0" w:line="254" w:lineRule="auto"/>
        <w:tabs>
          <w:tab w:leader="none" w:pos="89"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88">
        <w:r>
          <w:rPr>
            <w:rFonts w:ascii="Times New Roman" w:cs="Times New Roman" w:eastAsia="Times New Roman" w:hAnsi="Times New Roman"/>
            <w:sz w:val="18"/>
            <w:szCs w:val="18"/>
            <w:u w:val="single" w:color="auto"/>
            <w:color w:val="0000EE"/>
          </w:rPr>
          <w:t>Form of Series B Warrant (Pre-Funded</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Warrant)</w:t>
        </w:r>
      </w:hyperlink>
    </w:p>
    <w:p>
      <w:pPr>
        <w:ind w:left="150" w:right="60" w:hanging="150"/>
        <w:spacing w:after="0" w:line="276" w:lineRule="auto"/>
        <w:tabs>
          <w:tab w:leader="none" w:pos="89"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89">
        <w:r>
          <w:rPr>
            <w:rFonts w:ascii="Times New Roman" w:cs="Times New Roman" w:eastAsia="Times New Roman" w:hAnsi="Times New Roman"/>
            <w:sz w:val="18"/>
            <w:szCs w:val="18"/>
            <w:u w:val="single" w:color="auto"/>
            <w:color w:val="0000EE"/>
          </w:rPr>
          <w:t>Form of Series A Warrant (Private Placement</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Warrant)</w:t>
        </w:r>
      </w:hyperlink>
    </w:p>
    <w:p>
      <w:pPr>
        <w:spacing w:after="0" w:line="1" w:lineRule="exact"/>
        <w:rPr>
          <w:rFonts w:ascii="Times New Roman" w:cs="Times New Roman" w:eastAsia="Times New Roman" w:hAnsi="Times New Roman"/>
          <w:sz w:val="18"/>
          <w:szCs w:val="18"/>
          <w:u w:val="single" w:color="auto"/>
          <w:color w:val="0000EE"/>
        </w:rPr>
      </w:pPr>
    </w:p>
    <w:p>
      <w:pPr>
        <w:ind w:left="90" w:hanging="90"/>
        <w:spacing w:after="0" w:line="188" w:lineRule="auto"/>
        <w:tabs>
          <w:tab w:leader="none" w:pos="90" w:val="left"/>
        </w:tabs>
        <w:numPr>
          <w:ilvl w:val="0"/>
          <w:numId w:val="25"/>
        </w:numPr>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35"/>
          <w:szCs w:val="35"/>
          <w:color w:val="000000"/>
          <w:vertAlign w:val="superscript"/>
        </w:rPr>
        <w:t>​​</w:t>
      </w:r>
      <w:hyperlink r:id="rId90">
        <w:r>
          <w:rPr>
            <w:rFonts w:ascii="Times New Roman" w:cs="Times New Roman" w:eastAsia="Times New Roman" w:hAnsi="Times New Roman"/>
            <w:sz w:val="18"/>
            <w:szCs w:val="18"/>
            <w:u w:val="single" w:color="auto"/>
            <w:color w:val="0000EE"/>
          </w:rPr>
          <w:t>Registration Rights Agreement</w:t>
        </w:r>
      </w:hyperlink>
    </w:p>
    <w:p>
      <w:pPr>
        <w:spacing w:after="0" w:line="1" w:lineRule="exact"/>
        <w:rPr>
          <w:rFonts w:ascii="Times New Roman" w:cs="Times New Roman" w:eastAsia="Times New Roman" w:hAnsi="Times New Roman"/>
          <w:sz w:val="18"/>
          <w:szCs w:val="18"/>
          <w:color w:val="0000EE"/>
        </w:rPr>
      </w:pPr>
    </w:p>
    <w:p>
      <w:pPr>
        <w:ind w:left="150" w:hanging="150"/>
        <w:spacing w:after="0" w:line="249" w:lineRule="auto"/>
        <w:tabs>
          <w:tab w:leader="none" w:pos="89"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hyperlink r:id="rId91">
        <w:r>
          <w:rPr>
            <w:rFonts w:ascii="Times New Roman" w:cs="Times New Roman" w:eastAsia="Times New Roman" w:hAnsi="Times New Roman"/>
            <w:sz w:val="18"/>
            <w:szCs w:val="18"/>
            <w:u w:val="single" w:color="auto"/>
            <w:color w:val="0000EE"/>
          </w:rPr>
          <w:t>Form of Common Stock Certificate of Marker</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Therapeutics, Inc.</w:t>
        </w:r>
      </w:hyperlink>
    </w:p>
    <w:p>
      <w:pPr>
        <w:ind w:left="90" w:hanging="90"/>
        <w:spacing w:after="0" w:line="188" w:lineRule="auto"/>
        <w:tabs>
          <w:tab w:leader="none" w:pos="9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u w:val="single" w:color="auto"/>
          <w:color w:val="0000EE"/>
        </w:rPr>
        <w:t>Opinion of Shumaker, Loop &amp; Kendrick, LLP</w:t>
      </w:r>
    </w:p>
    <w:p>
      <w:pPr>
        <w:spacing w:after="0" w:line="1" w:lineRule="exact"/>
        <w:rPr>
          <w:rFonts w:ascii="Times New Roman" w:cs="Times New Roman" w:eastAsia="Times New Roman" w:hAnsi="Times New Roman"/>
          <w:sz w:val="36"/>
          <w:szCs w:val="36"/>
          <w:color w:val="auto"/>
          <w:vertAlign w:val="superscript"/>
        </w:rPr>
      </w:pPr>
    </w:p>
    <w:p>
      <w:pPr>
        <w:ind w:left="150" w:right="380" w:hanging="150"/>
        <w:spacing w:after="0" w:line="254" w:lineRule="auto"/>
        <w:tabs>
          <w:tab w:leader="none" w:pos="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Consent of Marcum LLP, an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public accounting firm.</w:t>
      </w:r>
    </w:p>
    <w:p>
      <w:pPr>
        <w:ind w:left="150" w:hanging="150"/>
        <w:spacing w:after="0" w:line="281" w:lineRule="auto"/>
        <w:tabs>
          <w:tab w:leader="none" w:pos="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Consent of Shumaker, Loop &amp; Kendrick, 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(included as part of Exhibit 5.1)</w:t>
      </w:r>
    </w:p>
    <w:p>
      <w:pPr>
        <w:spacing w:after="0" w:line="1" w:lineRule="exact"/>
        <w:rPr>
          <w:rFonts w:ascii="Times New Roman" w:cs="Times New Roman" w:eastAsia="Times New Roman" w:hAnsi="Times New Roman"/>
          <w:sz w:val="18"/>
          <w:szCs w:val="18"/>
          <w:color w:val="auto"/>
        </w:rPr>
      </w:pPr>
    </w:p>
    <w:p>
      <w:pPr>
        <w:ind w:left="150" w:right="280" w:hanging="150"/>
        <w:spacing w:after="0" w:line="276" w:lineRule="auto"/>
        <w:tabs>
          <w:tab w:leader="none" w:pos="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Powers of Attorney (included on signature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page).</w:t>
      </w:r>
    </w:p>
    <w:p>
      <w:pPr>
        <w:spacing w:after="0" w:line="1"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u w:val="single" w:color="auto"/>
          <w:color w:val="0000EE"/>
        </w:rPr>
        <w:t>Filing Fee Table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2"/>
        </w:trPr>
        <w:tc>
          <w:tcPr>
            <w:tcW w:w="240" w:type="dxa"/>
            <w:vAlign w:val="bottom"/>
            <w:vMerge w:val="continue"/>
          </w:tcPr>
          <w:p>
            <w:pPr>
              <w:spacing w:after="0"/>
              <w:rPr>
                <w:sz w:val="18"/>
                <w:szCs w:val="18"/>
                <w:color w:val="auto"/>
              </w:rPr>
            </w:pPr>
          </w:p>
        </w:tc>
        <w:tc>
          <w:tcPr>
            <w:tcW w:w="58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8-K</w:t>
            </w:r>
          </w:p>
        </w:tc>
        <w:tc>
          <w:tcPr>
            <w:tcW w:w="9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001-37939</w:t>
            </w:r>
          </w:p>
        </w:tc>
        <w:tc>
          <w:tcPr>
            <w:tcW w:w="5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3.4</w:t>
            </w:r>
          </w:p>
        </w:tc>
        <w:tc>
          <w:tcPr>
            <w:tcW w:w="900" w:type="dxa"/>
            <w:vAlign w:val="bottom"/>
            <w:gridSpan w:val="5"/>
          </w:tcPr>
          <w:p>
            <w:pPr>
              <w:jc w:val="right"/>
              <w:ind w:right="8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10/17/18 </w:t>
            </w:r>
            <w:r>
              <w:rPr>
                <w:rFonts w:ascii="Times New Roman" w:cs="Times New Roman" w:eastAsia="Times New Roman" w:hAnsi="Times New Roman"/>
                <w:sz w:val="24"/>
                <w:szCs w:val="24"/>
                <w:color w:val="auto"/>
                <w:vertAlign w:val="superscript"/>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​​05/27/22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​​01/26/23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3.6</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10/17/18 </w:t>
            </w:r>
            <w:r>
              <w:rPr>
                <w:rFonts w:ascii="Times New Roman" w:cs="Times New Roman" w:eastAsia="Times New Roman" w:hAnsi="Times New Roman"/>
                <w:sz w:val="35"/>
                <w:szCs w:val="35"/>
                <w:color w:val="auto"/>
                <w:vertAlign w:val="superscript"/>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8-K</w:t>
            </w:r>
          </w:p>
        </w:tc>
        <w:tc>
          <w:tcPr>
            <w:tcW w:w="90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001-37939</w:t>
            </w:r>
          </w:p>
        </w:tc>
        <w:tc>
          <w:tcPr>
            <w:tcW w:w="50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10.1</w:t>
            </w:r>
          </w:p>
        </w:tc>
        <w:tc>
          <w:tcPr>
            <w:tcW w:w="900" w:type="dxa"/>
            <w:vAlign w:val="bottom"/>
            <w:gridSpan w:val="5"/>
          </w:tcPr>
          <w:p>
            <w:pPr>
              <w:jc w:val="right"/>
              <w:ind w:right="8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12/19/24 </w:t>
            </w:r>
            <w:r>
              <w:rPr>
                <w:rFonts w:ascii="Times New Roman" w:cs="Times New Roman" w:eastAsia="Times New Roman" w:hAnsi="Times New Roman"/>
                <w:sz w:val="32"/>
                <w:szCs w:val="32"/>
                <w:color w:val="auto"/>
                <w:vertAlign w:val="superscript"/>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​​12/23/24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​​12/23/24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8-K</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10.2</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12/23/24 </w:t>
            </w:r>
            <w:r>
              <w:rPr>
                <w:rFonts w:ascii="Times New Roman" w:cs="Times New Roman" w:eastAsia="Times New Roman" w:hAnsi="Times New Roman"/>
                <w:sz w:val="35"/>
                <w:szCs w:val="35"/>
                <w:color w:val="auto"/>
                <w:vertAlign w:val="superscript"/>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​10-K ​​001-37939</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4.0</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​​3/26/24 ​​</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rFonts w:ascii="Times New Roman" w:cs="Times New Roman" w:eastAsia="Times New Roman" w:hAnsi="Times New Roman"/>
          <w:sz w:val="18"/>
          <w:szCs w:val="18"/>
          <w:color w:val="auto"/>
        </w:rPr>
      </w:pPr>
    </w:p>
    <w:p>
      <w:pPr>
        <w:sectPr>
          <w:pgSz w:w="11900" w:h="16838" w:orient="portrait"/>
          <w:cols w:equalWidth="0" w:num="3">
            <w:col w:w="1660" w:space="190"/>
            <w:col w:w="3630" w:space="460"/>
            <w:col w:w="39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rFonts w:ascii="Times New Roman" w:cs="Times New Roman" w:eastAsia="Times New Roman" w:hAnsi="Times New Roman"/>
          <w:sz w:val="18"/>
          <w:szCs w:val="18"/>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(a)(1) 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620" w:right="939" w:firstLine="360"/>
        <w:spacing w:after="0" w:line="282" w:lineRule="auto"/>
        <w:tabs>
          <w:tab w:leader="none" w:pos="23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80"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3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twenty percent change in the maximum aggregate offering price set forth in the “Calculation of Registration Fee” table in the effective registration statement; and</w:t>
      </w:r>
    </w:p>
    <w:p>
      <w:pPr>
        <w:spacing w:after="0" w:line="120" w:lineRule="exact"/>
        <w:rPr>
          <w:rFonts w:ascii="Times New Roman" w:cs="Times New Roman" w:eastAsia="Times New Roman" w:hAnsi="Times New Roman"/>
          <w:sz w:val="18"/>
          <w:szCs w:val="18"/>
          <w:color w:val="auto"/>
        </w:rPr>
      </w:pPr>
    </w:p>
    <w:p>
      <w:pPr>
        <w:jc w:val="both"/>
        <w:ind w:left="1620" w:right="679" w:firstLine="360"/>
        <w:spacing w:after="0" w:line="266" w:lineRule="auto"/>
        <w:tabs>
          <w:tab w:leader="none" w:pos="24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9879"/>
          </w:cols>
          <w:pgMar w:left="580" w:top="97" w:right="1440" w:bottom="1440" w:gutter="0" w:footer="0" w:header="0"/>
          <w:type w:val="continuous"/>
        </w:sectPr>
      </w:pPr>
    </w:p>
    <w:p>
      <w:pPr>
        <w:spacing w:after="0" w:line="35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6" w:lineRule="exact"/>
        <w:rPr>
          <w:sz w:val="20"/>
          <w:szCs w:val="20"/>
          <w:color w:val="auto"/>
        </w:rPr>
      </w:pPr>
    </w:p>
    <w:p>
      <w:pPr>
        <w:ind w:left="1260" w:right="479" w:firstLine="360"/>
        <w:spacing w:after="0" w:line="263" w:lineRule="auto"/>
        <w:tabs>
          <w:tab w:leader="none" w:pos="19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18" w:lineRule="exact"/>
        <w:rPr>
          <w:rFonts w:ascii="Times New Roman" w:cs="Times New Roman" w:eastAsia="Times New Roman" w:hAnsi="Times New Roman"/>
          <w:sz w:val="18"/>
          <w:szCs w:val="18"/>
          <w:color w:val="auto"/>
        </w:rPr>
      </w:pPr>
    </w:p>
    <w:p>
      <w:pPr>
        <w:ind w:left="1260" w:right="639" w:firstLine="360"/>
        <w:spacing w:after="0" w:line="282" w:lineRule="auto"/>
        <w:tabs>
          <w:tab w:leader="none" w:pos="19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57" w:lineRule="exact"/>
        <w:rPr>
          <w:rFonts w:ascii="Times New Roman" w:cs="Times New Roman" w:eastAsia="Times New Roman" w:hAnsi="Times New Roman"/>
          <w:sz w:val="18"/>
          <w:szCs w:val="18"/>
          <w:color w:val="auto"/>
        </w:rPr>
      </w:pPr>
    </w:p>
    <w:p>
      <w:pPr>
        <w:jc w:val="both"/>
        <w:ind w:left="1620" w:right="559" w:firstLine="360"/>
        <w:spacing w:after="0" w:line="266" w:lineRule="auto"/>
        <w:tabs>
          <w:tab w:leader="none" w:pos="23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2" w:lineRule="auto"/>
        <w:tabs>
          <w:tab w:leader="none" w:pos="2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4" w:lineRule="exact"/>
        <w:rPr>
          <w:sz w:val="20"/>
          <w:szCs w:val="20"/>
          <w:color w:val="auto"/>
        </w:rPr>
      </w:pPr>
    </w:p>
    <w:p>
      <w:pPr>
        <w:ind w:left="1260" w:right="519" w:firstLine="360"/>
        <w:spacing w:after="0" w:line="256" w:lineRule="auto"/>
        <w:tabs>
          <w:tab w:leader="none" w:pos="19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1340" w:firstLine="360"/>
        <w:spacing w:after="0" w:line="25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January, 2025.</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43180</wp:posOffset>
            </wp:positionV>
            <wp:extent cx="20142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8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Juan Vera</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1260" w:firstLine="36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Juan Vera and David Eansor,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w:t>
      </w:r>
    </w:p>
    <w:p>
      <w:pPr>
        <w:spacing w:after="0" w:line="4" w:lineRule="exact"/>
        <w:rPr>
          <w:sz w:val="20"/>
          <w:szCs w:val="20"/>
          <w:color w:val="auto"/>
        </w:rPr>
      </w:pPr>
    </w:p>
    <w:p>
      <w:pPr>
        <w:ind w:left="1260" w:right="1380"/>
        <w:spacing w:after="0" w:line="255" w:lineRule="auto"/>
        <w:tabs>
          <w:tab w:leader="none" w:pos="15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321" w:lineRule="exact"/>
        <w:rPr>
          <w:sz w:val="20"/>
          <w:szCs w:val="20"/>
          <w:color w:val="auto"/>
        </w:rPr>
      </w:pPr>
    </w:p>
    <w:p>
      <w:pPr>
        <w:ind w:left="1260" w:right="130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62"/>
        </w:trPr>
        <w:tc>
          <w:tcPr>
            <w:tcW w:w="12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Juan Vera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
        </w:trPr>
        <w:tc>
          <w:tcPr>
            <w:tcW w:w="1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8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w:t>
            </w:r>
          </w:p>
        </w:tc>
        <w:tc>
          <w:tcPr>
            <w:tcW w:w="220" w:type="dxa"/>
            <w:vAlign w:val="bottom"/>
          </w:tcPr>
          <w:p>
            <w:pPr>
              <w:spacing w:after="0"/>
              <w:rPr>
                <w:sz w:val="3"/>
                <w:szCs w:val="3"/>
                <w:color w:val="auto"/>
              </w:rPr>
            </w:pPr>
          </w:p>
        </w:tc>
        <w:tc>
          <w:tcPr>
            <w:tcW w:w="17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rPr>
              <w:t>January 10, 2025</w:t>
            </w: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9"/>
              </w:rPr>
              <w:t>Juan Vera</w:t>
            </w:r>
          </w:p>
        </w:tc>
        <w:tc>
          <w:tcPr>
            <w:tcW w:w="220" w:type="dxa"/>
            <w:vAlign w:val="bottom"/>
          </w:tcPr>
          <w:p>
            <w:pPr>
              <w:spacing w:after="0"/>
              <w:rPr>
                <w:sz w:val="11"/>
                <w:szCs w:val="11"/>
                <w:color w:val="auto"/>
              </w:rPr>
            </w:pPr>
          </w:p>
        </w:tc>
        <w:tc>
          <w:tcPr>
            <w:tcW w:w="3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and Accounting Officer)</w:t>
            </w: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N. David Eansor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rPr>
              <w:t>N. David Eansor</w:t>
            </w:r>
          </w:p>
        </w:tc>
        <w:tc>
          <w:tcPr>
            <w:tcW w:w="22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John Wilson</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rPr>
              <w:t>John Wilson</w:t>
            </w:r>
          </w:p>
        </w:tc>
        <w:tc>
          <w:tcPr>
            <w:tcW w:w="22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Katharine Knobil</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12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98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rPr>
              <w:t>Katharine Knobil</w:t>
            </w:r>
          </w:p>
        </w:tc>
        <w:tc>
          <w:tcPr>
            <w:tcW w:w="22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Steve Elms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180" w:type="dxa"/>
            <w:vAlign w:val="bottom"/>
            <w:tcBorders>
              <w:bottom w:val="single" w:sz="8" w:color="auto"/>
            </w:tcBorders>
            <w:vMerge w:val="continue"/>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20" w:type="dxa"/>
            <w:vAlign w:val="bottom"/>
            <w:vMerge w:val="continue"/>
          </w:tcPr>
          <w:p>
            <w:pPr>
              <w:spacing w:after="0"/>
              <w:rPr>
                <w:sz w:val="3"/>
                <w:szCs w:val="3"/>
                <w:color w:val="auto"/>
              </w:rPr>
            </w:pPr>
          </w:p>
        </w:tc>
        <w:tc>
          <w:tcPr>
            <w:tcW w:w="388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Steve Elms</w:t>
            </w:r>
          </w:p>
        </w:tc>
        <w:tc>
          <w:tcPr>
            <w:tcW w:w="2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-2125345</wp:posOffset>
            </wp:positionV>
            <wp:extent cx="13716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-1679575</wp:posOffset>
            </wp:positionV>
            <wp:extent cx="1371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-1233805</wp:posOffset>
            </wp:positionV>
            <wp:extent cx="1371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 East Kennedy Boulevard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74190"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1774190" cy="3943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2800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Tampa, Florida 33602</w:t>
      </w:r>
    </w:p>
    <w:p>
      <w:pPr>
        <w:spacing w:after="0" w:line="203"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 xml:space="preserve">o </w:t>
      </w:r>
      <w:r>
        <w:rPr>
          <w:rFonts w:ascii="Times New Roman" w:cs="Times New Roman" w:eastAsia="Times New Roman" w:hAnsi="Times New Roman"/>
          <w:sz w:val="17"/>
          <w:szCs w:val="17"/>
          <w:color w:val="auto"/>
        </w:rPr>
        <w:t>813.229.7600</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813.229.1660</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shumaker.com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2450 Holcombe Blvd, Suite BCM-A, MS: BCM251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77021</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 Form S-3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Marker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in connection with the filing, on or about the date of this letter, of a Registration Statement on Form S-3 (the “Registration Statement”)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covering the registration for resale of up to 10,062,500 shares of the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consisting of (a) 1,783,805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outstanding shares of Common Stock, (b) up to 3,247,445 shares of Common Stock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issuable upon the exercise of outstanding Series B pre-funded warrants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(c) up to 5,031,250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(together with the Pre-funded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issuable upon the exercise of outstanding Series A common warrants (together with the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examined the originals or certified copies of such corporate records of the Company and/or public officials and such other documents and have made such other factual and legal investigations as we have deemed relevant and necessary as the basis for the opinions set forth below. In our examination, we have assumed the genuineness of all signatures, the authenticity of all documents submitted to us as originals, and the conformity to authentic original documents of all documents submitted to us as copies or as facsimiles of copies or originals, which assumptions we have not independently verified.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Further, we have assumed the exercise price of the Warrants will not be adjusted to an amount below the par value per share of the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and the examination of such legal authorities as we have deemed relevant, and subject to the qualifications and further assumptions set forth below, we are of the opinion that: (i) the Shares to be sold by the selling stockholders identified in the Registration Statement have been duly authorized and are validly issued, fully paid and non-assessable; and (ii) and upon exercise and payment in accordance with the terms of the Warrants as described in the Registration Statement, the Warrant Shares to be sold by the selling stockholders identified in the Registration Statement will be lawfully and validly issued, fully paid and non-assessable.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made such inquiries with respect thereto as we consider necessary to render this opinion. We are opining herein as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we express no opinion with respect to any other laws. We assume no obligation to revise or supplement this opinion letter should the laws of such jurisdiction be changed after the date hereof by legislative action, judicial decision or otherwise.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caption “Legal Matters” in the Registration Statement. In giving this consent, we do not represent that we are within the category of persons whose consent is required under Section 7 of the Securities Act or the General Rules and Regulations of the Securities and Exchange Commission.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Shumaker, Loop &amp; Kendrick, LLP</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Marker Therapeutics, Inc. on Form S-3 (the “Registration Statement”) of our report dated March 25, 2024, with respect to our audits of the consolidated financial statements of Marker Therapeutics, Inc. as of December 31, 2023 and 2022 and for each of the years ended December 31, 2023 and 2022 appearing in the Annual Report on Form 10-K of Marker Therapeutics, Inc.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0" w:type="dxa"/>
            <w:vAlign w:val="bottom"/>
            <w:tcBorders>
              <w:top w:val="single" w:sz="8" w:color="auto"/>
              <w:left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 Fee</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Paid in</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Connection</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Fee</w:t>
            </w: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Carry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Carry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Security</w:t>
            </w:r>
          </w:p>
        </w:tc>
        <w:tc>
          <w:tcPr>
            <w:tcW w:w="140" w:type="dxa"/>
            <w:vAlign w:val="bottom"/>
            <w:tcBorders>
              <w:right w:val="single" w:sz="8" w:color="auto"/>
            </w:tcBorders>
          </w:tcPr>
          <w:p>
            <w:pPr>
              <w:spacing w:after="0"/>
              <w:rPr>
                <w:sz w:val="18"/>
                <w:szCs w:val="18"/>
                <w:color w:val="auto"/>
              </w:rPr>
            </w:pPr>
          </w:p>
        </w:tc>
        <w:tc>
          <w:tcPr>
            <w:tcW w:w="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or Carry</w:t>
            </w: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to be</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Class</w:t>
            </w:r>
          </w:p>
        </w:tc>
        <w:tc>
          <w:tcPr>
            <w:tcW w:w="140" w:type="dxa"/>
            <w:vAlign w:val="bottom"/>
            <w:tcBorders>
              <w:right w:val="single" w:sz="8" w:color="auto"/>
            </w:tcBorders>
          </w:tcPr>
          <w:p>
            <w:pPr>
              <w:spacing w:after="0"/>
              <w:rPr>
                <w:sz w:val="18"/>
                <w:szCs w:val="18"/>
                <w:color w:val="auto"/>
              </w:rPr>
            </w:pPr>
          </w:p>
        </w:tc>
        <w:tc>
          <w:tcPr>
            <w:tcW w:w="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Effective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Carried</w:t>
            </w:r>
          </w:p>
        </w:tc>
        <w:tc>
          <w:tcPr>
            <w:tcW w:w="0" w:type="dxa"/>
            <w:vAlign w:val="bottom"/>
          </w:tcPr>
          <w:p>
            <w:pPr>
              <w:spacing w:after="0"/>
              <w:rPr>
                <w:sz w:val="1"/>
                <w:szCs w:val="1"/>
                <w:color w:val="auto"/>
              </w:rPr>
            </w:pPr>
          </w:p>
        </w:tc>
      </w:tr>
      <w:tr>
        <w:trPr>
          <w:trHeight w:val="241"/>
        </w:trPr>
        <w:tc>
          <w:tcPr>
            <w:tcW w:w="5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11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3"/>
              </w:rPr>
              <w:t>Title</w:t>
            </w:r>
          </w:p>
        </w:tc>
        <w:tc>
          <w:tcPr>
            <w:tcW w:w="1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Rule</w:t>
            </w:r>
          </w:p>
        </w:tc>
        <w:tc>
          <w:tcPr>
            <w:tcW w:w="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Unit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9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 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0" w:type="dxa"/>
            <w:vAlign w:val="bottom"/>
          </w:tcPr>
          <w:p>
            <w:pPr>
              <w:spacing w:after="0"/>
              <w:rPr>
                <w:sz w:val="1"/>
                <w:szCs w:val="1"/>
                <w:color w:val="auto"/>
              </w:rPr>
            </w:pPr>
          </w:p>
        </w:tc>
      </w:tr>
      <w:tr>
        <w:trPr>
          <w:trHeight w:val="439"/>
        </w:trPr>
        <w:tc>
          <w:tcPr>
            <w:tcW w:w="520" w:type="dxa"/>
            <w:vAlign w:val="bottom"/>
            <w:tcBorders>
              <w:left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6"/>
              </w:rPr>
              <w:t>Fees</w:t>
            </w:r>
          </w:p>
        </w:tc>
        <w:tc>
          <w:tcPr>
            <w:tcW w:w="68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to</w:t>
            </w:r>
          </w:p>
        </w:tc>
        <w:tc>
          <w:tcPr>
            <w:tcW w:w="680" w:type="dxa"/>
            <w:vAlign w:val="bottom"/>
            <w:tcBorders>
              <w:right w:val="single" w:sz="8" w:color="auto"/>
            </w:tcBorders>
          </w:tcPr>
          <w:p>
            <w:pPr>
              <w:spacing w:after="0"/>
              <w:rPr>
                <w:sz w:val="18"/>
                <w:szCs w:val="18"/>
                <w:color w:val="auto"/>
              </w:rPr>
            </w:pPr>
          </w:p>
        </w:tc>
        <w:tc>
          <w:tcPr>
            <w:tcW w:w="11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par value</w:t>
            </w: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$153.10</w:t>
            </w: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Be</w:t>
            </w:r>
          </w:p>
        </w:tc>
        <w:tc>
          <w:tcPr>
            <w:tcW w:w="680" w:type="dxa"/>
            <w:vAlign w:val="bottom"/>
            <w:tcBorders>
              <w:right w:val="single" w:sz="8" w:color="auto"/>
            </w:tcBorders>
          </w:tcPr>
          <w:p>
            <w:pPr>
              <w:spacing w:after="0"/>
              <w:rPr>
                <w:sz w:val="18"/>
                <w:szCs w:val="18"/>
                <w:color w:val="auto"/>
              </w:rPr>
            </w:pPr>
          </w:p>
        </w:tc>
        <w:tc>
          <w:tcPr>
            <w:tcW w:w="11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$0.001 per</w:t>
            </w: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$29,281,875</w:t>
            </w:r>
          </w:p>
        </w:tc>
        <w:tc>
          <w:tcPr>
            <w:tcW w:w="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w:t>
            </w:r>
          </w:p>
        </w:tc>
        <w:tc>
          <w:tcPr>
            <w:tcW w:w="10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Borders>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share</w:t>
            </w:r>
          </w:p>
        </w:tc>
        <w:tc>
          <w:tcPr>
            <w:tcW w:w="1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457(c)</w:t>
            </w:r>
          </w:p>
        </w:tc>
        <w:tc>
          <w:tcPr>
            <w:tcW w:w="1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$2.91 (3)</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$1,000,000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$4,483.06</w:t>
            </w: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 w:type="dxa"/>
            <w:vAlign w:val="bottom"/>
            <w:tcBorders>
              <w:left w:val="single" w:sz="8" w:color="auto"/>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$153.10</w:t>
            </w:r>
          </w:p>
        </w:tc>
        <w:tc>
          <w:tcPr>
            <w:tcW w:w="10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$29,281,875</w:t>
            </w:r>
          </w:p>
        </w:tc>
        <w:tc>
          <w:tcPr>
            <w:tcW w:w="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$4,483.06</w:t>
            </w:r>
          </w:p>
        </w:tc>
        <w:tc>
          <w:tcPr>
            <w:tcW w:w="7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gridSpan w:val="3"/>
            <w:vMerge w:val="continue"/>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$1,000,000</w:t>
            </w: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 Previously Paid </w:t>
            </w:r>
          </w:p>
        </w:tc>
        <w:tc>
          <w:tcPr>
            <w:tcW w:w="8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8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8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$4,483.06</w:t>
            </w: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-1748155</wp:posOffset>
            </wp:positionV>
            <wp:extent cx="82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-1748155</wp:posOffset>
            </wp:positionV>
            <wp:extent cx="82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-1748155</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421"/>
        </w:trPr>
        <w:tc>
          <w:tcPr>
            <w:tcW w:w="110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760" w:type="dxa"/>
            <w:vAlign w:val="bottom"/>
            <w:tcBorders>
              <w:top w:val="single" w:sz="8" w:color="auto"/>
              <w:right w:val="single" w:sz="8" w:color="auto"/>
            </w:tcBorders>
          </w:tcPr>
          <w:p>
            <w:pPr>
              <w:spacing w:after="0"/>
              <w:rPr>
                <w:sz w:val="24"/>
                <w:szCs w:val="24"/>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76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Unsold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Type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Form</w:t>
            </w: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Associated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Associated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Associated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Associated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8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or</w:t>
            </w: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Initial</w:t>
            </w:r>
          </w:p>
        </w:tc>
        <w:tc>
          <w:tcPr>
            <w:tcW w:w="7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Fee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Fee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 Fee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 Fee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Filer</w:t>
            </w:r>
          </w:p>
        </w:tc>
        <w:tc>
          <w:tcPr>
            <w:tcW w:w="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w:t>
            </w:r>
          </w:p>
        </w:tc>
        <w:tc>
          <w:tcPr>
            <w:tcW w:w="70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File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Filing</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Filing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Offset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r>
      <w:tr>
        <w:trPr>
          <w:trHeight w:val="241"/>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8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84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Claimed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Claimed</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Source</w:t>
            </w:r>
          </w:p>
        </w:tc>
      </w:tr>
      <w:tr>
        <w:trPr>
          <w:trHeight w:val="439"/>
        </w:trPr>
        <w:tc>
          <w:tcPr>
            <w:tcW w:w="1100" w:type="dxa"/>
            <w:vAlign w:val="bottom"/>
            <w:tcBorders>
              <w:left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Rule 457(p)</w:t>
            </w: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r>
      <w:tr>
        <w:trPr>
          <w:trHeight w:val="414"/>
        </w:trPr>
        <w:tc>
          <w:tcPr>
            <w:tcW w:w="11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 Offset</w:t>
            </w:r>
          </w:p>
        </w:tc>
        <w:tc>
          <w:tcPr>
            <w:tcW w:w="122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r>
      <w:tr>
        <w:trPr>
          <w:trHeight w:val="241"/>
        </w:trPr>
        <w:tc>
          <w:tcPr>
            <w:tcW w:w="1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Claims</w:t>
            </w: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920" w:right="400" w:hanging="575"/>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consists of (a) 1,783,805 shares of common stock, (b) 3,247,445 shares of common stock to be acquired upon the exercise of Pre-Funded Warrants, and (c) 5,031,250 shares of common stock to be acquired upon the exercise of Private Placement Warrants.</w:t>
      </w:r>
    </w:p>
    <w:p>
      <w:pPr>
        <w:spacing w:after="0" w:line="175" w:lineRule="exact"/>
        <w:rPr>
          <w:rFonts w:ascii="Times New Roman" w:cs="Times New Roman" w:eastAsia="Times New Roman" w:hAnsi="Times New Roman"/>
          <w:sz w:val="18"/>
          <w:szCs w:val="18"/>
          <w:color w:val="auto"/>
        </w:rPr>
      </w:pPr>
    </w:p>
    <w:p>
      <w:pPr>
        <w:ind w:left="920" w:right="420" w:hanging="575"/>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will be offered for resale by the selling stockholders pursuant to the prospectus contained herein. 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175" w:lineRule="exact"/>
        <w:rPr>
          <w:rFonts w:ascii="Times New Roman" w:cs="Times New Roman" w:eastAsia="Times New Roman" w:hAnsi="Times New Roman"/>
          <w:sz w:val="18"/>
          <w:szCs w:val="18"/>
          <w:color w:val="auto"/>
        </w:rPr>
      </w:pPr>
    </w:p>
    <w:p>
      <w:pPr>
        <w:jc w:val="both"/>
        <w:ind w:left="920" w:right="340" w:hanging="575"/>
        <w:spacing w:after="0" w:line="266" w:lineRule="auto"/>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under the Securities Act, solely for the purposes of calculating the registration fee and based on the average of the high and low prices of the Registrant’s common stock as reported on The Nasdaq Capital Market on January 8, 2025,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60"/>
      </w:cols>
      <w:pgMar w:left="320" w:top="9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2"/>
    </w:lvl>
  </w:abstractNum>
  <w:abstractNum w:abstractNumId="7">
    <w:nsid w:val="7C83E458"/>
    <w:multiLevelType w:val="hybridMultilevel"/>
    <w:lvl w:ilvl="0">
      <w:lvlJc w:val="left"/>
      <w:lvlText w:val="(%1)"/>
      <w:numFmt w:val="lowerRoman"/>
      <w:start w:val="2"/>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lowerRoman"/>
      <w:start w:val="3"/>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decimal"/>
      <w:start w:val="2"/>
    </w:lvl>
    <w:lvl w:ilvl="1">
      <w:lvlJc w:val="left"/>
      <w:lvlText w:val="(%2)"/>
      <w:numFmt w:val="lowerRoman"/>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jpe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jpe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36" Type="http://schemas.openxmlformats.org/officeDocument/2006/relationships/hyperlink" Target="http://www.sec.gov/ix?doc=/Archives/edgar/data/1094038/000110465924131322/tm2431905d1_8k.htm" TargetMode="External"/><Relationship Id="rId42" Type="http://schemas.openxmlformats.org/officeDocument/2006/relationships/hyperlink" Target="http://www.sec.gov/Archives/edgar/data/1094038/000110465924052914/tm242848-1_def14a.htm" TargetMode="External"/><Relationship Id="rId60" Type="http://schemas.openxmlformats.org/officeDocument/2006/relationships/hyperlink" Target="http://www.sec.gov/ix?doc=/Archives/edgar/data/1094038/000141057824000297/mrkr-20231231x10k.htm" TargetMode="External"/><Relationship Id="rId61" Type="http://schemas.openxmlformats.org/officeDocument/2006/relationships/hyperlink" Target="http://www.sec.gov/ix?doc=/Archives/edgar/data/1094038/000141057824001978/mrkr-20240930x10q.htm" TargetMode="External"/><Relationship Id="rId62" Type="http://schemas.openxmlformats.org/officeDocument/2006/relationships/hyperlink" Target="http://www.sec.gov/ix?doc=/Archives/edgar/data/1094038/000110465924062001/tm2414438d1_8k.htm" TargetMode="External"/><Relationship Id="rId63" Type="http://schemas.openxmlformats.org/officeDocument/2006/relationships/hyperlink" Target="http://www.sec.gov/ix?doc=/Archives/edgar/data/1094038/000110465924070830/tm2416968d1_8k.htm" TargetMode="External"/><Relationship Id="rId64" Type="http://schemas.openxmlformats.org/officeDocument/2006/relationships/hyperlink" Target="http://www.sec.gov/ix?doc=/Archives/edgar/data/1094038/000110465924088054/tm2421372d1_8k.htm" TargetMode="External"/><Relationship Id="rId65" Type="http://schemas.openxmlformats.org/officeDocument/2006/relationships/hyperlink" Target="http://www.sec.gov/ix?doc=/Archives/edgar/data/1094038/000110465924089704/tm2421372d1_8k.htm" TargetMode="External"/><Relationship Id="rId66" Type="http://schemas.openxmlformats.org/officeDocument/2006/relationships/hyperlink" Target="http://www.sec.gov/ix?doc=/Archives/edgar/data/1094038/000110465924119077/tm2421372d1_8k.htm" TargetMode="External"/><Relationship Id="rId67" Type="http://schemas.openxmlformats.org/officeDocument/2006/relationships/hyperlink" Target="http://www.sec.gov/ix?doc=/Archives/edgar/data/1094038/000110465924129181/tm2431191d1_8k.htm" TargetMode="External"/><Relationship Id="rId68" Type="http://schemas.openxmlformats.org/officeDocument/2006/relationships/hyperlink" Target="http://www.sec.gov/ix?doc=/Archives/edgar/data/1094038/000110465924130002/tm2431560d1_8k.htm" TargetMode="External"/><Relationship Id="rId69" Type="http://schemas.openxmlformats.org/officeDocument/2006/relationships/hyperlink" Target="http://www.sec.gov/Archives/edgar/data/1094038/000114420418054210/tv504949_8a12ba.htm" TargetMode="External"/><Relationship Id="rId83" Type="http://schemas.openxmlformats.org/officeDocument/2006/relationships/hyperlink" Target="http://www.sec.gov/Archives/edgar/data/1094038/000114420418054209/tv504951_ex3-4.htm" TargetMode="External"/><Relationship Id="rId84" Type="http://schemas.openxmlformats.org/officeDocument/2006/relationships/hyperlink" Target="http://www.sec.gov/Archives/edgar/data/1094038/000119312522162322/d480537dex31.htm" TargetMode="External"/><Relationship Id="rId85" Type="http://schemas.openxmlformats.org/officeDocument/2006/relationships/hyperlink" Target="http://www.sec.gov/Archives/edgar/data/1094038/000110465923007019/tm234466d1_ex3-1.htm" TargetMode="External"/><Relationship Id="rId86" Type="http://schemas.openxmlformats.org/officeDocument/2006/relationships/hyperlink" Target="http://www.sec.gov/Archives/edgar/data/1094038/000114420418054209/tv504951_ex3-6.htm" TargetMode="External"/><Relationship Id="rId87" Type="http://schemas.openxmlformats.org/officeDocument/2006/relationships/hyperlink" Target="http://www.sec.gov/Archives/edgar/data/1094038/000110465924130002/tm2431560d1_ex10-1.htm" TargetMode="External"/><Relationship Id="rId88" Type="http://schemas.openxmlformats.org/officeDocument/2006/relationships/hyperlink" Target="http://www.sec.gov/Archives/edgar/data/1094038/000110465924131322/tm2431905d1_ex4-1.htm" TargetMode="External"/><Relationship Id="rId89" Type="http://schemas.openxmlformats.org/officeDocument/2006/relationships/hyperlink" Target="http://www.sec.gov/Archives/edgar/data/1094038/000110465924131322/tm2431905d1_ex4-2.htm" TargetMode="External"/><Relationship Id="rId90" Type="http://schemas.openxmlformats.org/officeDocument/2006/relationships/hyperlink" Target="http://www.sec.gov/Archives/edgar/data/1094038/000110465924131322/tm2431905d1_ex10-2.htm" TargetMode="External"/><Relationship Id="rId91" Type="http://schemas.openxmlformats.org/officeDocument/2006/relationships/hyperlink" Target="http://www.sec.gov/Archives/edgar/data/1094038/000141057824000297/mrkr-20231231xex4d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2025-01-10T16:16:31Z</dcterms:created>
  <dcterms:modified xsi:type="dcterms:W3CDTF">2025-01-10T16:16:31Z</dcterms:modified>
</cp:coreProperties>
</file>