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May 15, 2024</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u w:val="single" w:color="auto"/>
          <w:color w:val="auto"/>
        </w:rPr>
        <w:t>MARKER THERAPEUTICS,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2" w:lineRule="exact"/>
        <w:rPr>
          <w:sz w:val="24"/>
          <w:szCs w:val="24"/>
          <w:color w:val="auto"/>
        </w:rPr>
      </w:pPr>
    </w:p>
    <w:tbl>
      <w:tblPr>
        <w:tblLayout w:type="fixed"/>
        <w:tblInd w:w="400" w:type="dxa"/>
        <w:tblCellMar>
          <w:top w:w="0" w:type="dxa"/>
          <w:left w:w="0" w:type="dxa"/>
          <w:bottom w:w="0" w:type="dxa"/>
          <w:right w:w="0" w:type="dxa"/>
        </w:tblCellMar>
      </w:tblPr>
      <w:tr>
        <w:trPr>
          <w:trHeight w:val="207"/>
        </w:trPr>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gridSpan w:val="3"/>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160" w:type="dxa"/>
            <w:vAlign w:val="bottom"/>
            <w:gridSpan w:val="3"/>
          </w:tcPr>
          <w:p>
            <w:pPr>
              <w:jc w:val="right"/>
              <w:ind w:right="1680"/>
              <w:spacing w:after="0"/>
              <w:rPr>
                <w:sz w:val="20"/>
                <w:szCs w:val="20"/>
                <w:color w:val="auto"/>
              </w:rPr>
            </w:pPr>
            <w:r>
              <w:rPr>
                <w:rFonts w:ascii="Times New Roman" w:cs="Times New Roman" w:eastAsia="Times New Roman" w:hAnsi="Times New Roman"/>
                <w:sz w:val="18"/>
                <w:szCs w:val="18"/>
                <w:b w:val="1"/>
                <w:bCs w:val="1"/>
                <w:color w:val="auto"/>
              </w:rPr>
              <w:t>001-37939</w:t>
            </w:r>
          </w:p>
        </w:tc>
        <w:tc>
          <w:tcPr>
            <w:tcW w:w="2800" w:type="dxa"/>
            <w:vAlign w:val="bottom"/>
            <w:gridSpan w:val="5"/>
          </w:tcPr>
          <w:p>
            <w:pPr>
              <w:jc w:val="right"/>
              <w:ind w:right="800"/>
              <w:spacing w:after="0"/>
              <w:rPr>
                <w:sz w:val="20"/>
                <w:szCs w:val="20"/>
                <w:color w:val="auto"/>
              </w:rPr>
            </w:pPr>
            <w:r>
              <w:rPr>
                <w:rFonts w:ascii="Times New Roman" w:cs="Times New Roman" w:eastAsia="Times New Roman" w:hAnsi="Times New Roman"/>
                <w:sz w:val="18"/>
                <w:szCs w:val="18"/>
                <w:b w:val="1"/>
                <w:bCs w:val="1"/>
                <w:color w:val="auto"/>
              </w:rPr>
              <w:t>45-4497941</w:t>
            </w:r>
          </w:p>
        </w:tc>
      </w:tr>
      <w:tr>
        <w:trPr>
          <w:trHeight w:val="20"/>
        </w:trPr>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37"/>
        </w:trPr>
        <w:tc>
          <w:tcPr>
            <w:tcW w:w="3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(Commission File Number)</w:t>
            </w:r>
          </w:p>
        </w:tc>
        <w:tc>
          <w:tcPr>
            <w:tcW w:w="2800" w:type="dxa"/>
            <w:vAlign w:val="bottom"/>
            <w:gridSpan w:val="5"/>
          </w:tcPr>
          <w:p>
            <w:pPr>
              <w:jc w:val="center"/>
              <w:ind w:left="2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9350 Kirby Drive, Suite 300</w:t>
            </w:r>
          </w:p>
        </w:tc>
        <w:tc>
          <w:tcPr>
            <w:tcW w:w="17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8"/>
        </w:trPr>
        <w:tc>
          <w:tcPr>
            <w:tcW w:w="1000" w:type="dxa"/>
            <w:vAlign w:val="bottom"/>
          </w:tcPr>
          <w:p>
            <w:pPr>
              <w:spacing w:after="0"/>
              <w:rPr>
                <w:sz w:val="17"/>
                <w:szCs w:val="17"/>
                <w:color w:val="auto"/>
              </w:rPr>
            </w:pPr>
          </w:p>
        </w:tc>
        <w:tc>
          <w:tcPr>
            <w:tcW w:w="1160" w:type="dxa"/>
            <w:vAlign w:val="bottom"/>
            <w:tcBorders>
              <w:bottom w:val="single" w:sz="8" w:color="auto"/>
            </w:tcBorders>
            <w:gridSpan w:val="3"/>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1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000" w:type="dxa"/>
            <w:vAlign w:val="bottom"/>
            <w:gridSpan w:val="4"/>
          </w:tcPr>
          <w:p>
            <w:pPr>
              <w:jc w:val="right"/>
              <w:ind w:right="200"/>
              <w:spacing w:after="0" w:line="191" w:lineRule="exact"/>
              <w:rPr>
                <w:sz w:val="20"/>
                <w:szCs w:val="20"/>
                <w:color w:val="auto"/>
              </w:rPr>
            </w:pPr>
            <w:r>
              <w:rPr>
                <w:rFonts w:ascii="Times New Roman" w:cs="Times New Roman" w:eastAsia="Times New Roman" w:hAnsi="Times New Roman"/>
                <w:sz w:val="18"/>
                <w:szCs w:val="18"/>
                <w:b w:val="1"/>
                <w:bCs w:val="1"/>
                <w:color w:val="auto"/>
              </w:rPr>
              <w:t>77054</w:t>
            </w:r>
          </w:p>
        </w:tc>
        <w:tc>
          <w:tcPr>
            <w:tcW w:w="800" w:type="dxa"/>
            <w:vAlign w:val="bottom"/>
          </w:tcPr>
          <w:p>
            <w:pPr>
              <w:spacing w:after="0"/>
              <w:rPr>
                <w:sz w:val="17"/>
                <w:szCs w:val="17"/>
                <w:color w:val="auto"/>
              </w:rPr>
            </w:pPr>
          </w:p>
        </w:tc>
      </w:tr>
      <w:tr>
        <w:trPr>
          <w:trHeight w:val="20"/>
        </w:trPr>
        <w:tc>
          <w:tcPr>
            <w:tcW w:w="3260" w:type="dxa"/>
            <w:vAlign w:val="bottom"/>
            <w:gridSpan w:val="5"/>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r>
      <w:tr>
        <w:trPr>
          <w:trHeight w:val="224"/>
        </w:trPr>
        <w:tc>
          <w:tcPr>
            <w:tcW w:w="326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4"/>
          </w:tcPr>
          <w:p>
            <w:pPr>
              <w:jc w:val="center"/>
              <w:ind w:right="80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160" w:type="dxa"/>
            <w:vAlign w:val="bottom"/>
            <w:gridSpan w:val="3"/>
          </w:tcPr>
          <w:p>
            <w:pPr>
              <w:jc w:val="right"/>
              <w:ind w:right="1640"/>
              <w:spacing w:after="0"/>
              <w:rPr>
                <w:sz w:val="20"/>
                <w:szCs w:val="20"/>
                <w:color w:val="auto"/>
              </w:rPr>
            </w:pPr>
            <w:r>
              <w:rPr>
                <w:rFonts w:ascii="Times New Roman" w:cs="Times New Roman" w:eastAsia="Times New Roman" w:hAnsi="Times New Roman"/>
                <w:sz w:val="18"/>
                <w:szCs w:val="18"/>
                <w:b w:val="1"/>
                <w:bCs w:val="1"/>
                <w:color w:val="auto"/>
              </w:rPr>
              <w:t>(713) 400-6400</w:t>
            </w: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34"/>
        </w:trPr>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16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200" w:type="dxa"/>
            <w:vAlign w:val="bottom"/>
          </w:tcPr>
          <w:p>
            <w:pPr>
              <w:spacing w:after="0"/>
              <w:rPr>
                <w:sz w:val="20"/>
                <w:szCs w:val="20"/>
                <w:color w:val="auto"/>
              </w:rPr>
            </w:pPr>
          </w:p>
        </w:tc>
        <w:tc>
          <w:tcPr>
            <w:tcW w:w="4280" w:type="dxa"/>
            <w:vAlign w:val="bottom"/>
          </w:tcPr>
          <w:p>
            <w:pPr>
              <w:spacing w:after="0"/>
              <w:rPr>
                <w:sz w:val="20"/>
                <w:szCs w:val="20"/>
                <w:color w:val="auto"/>
              </w:rPr>
            </w:pPr>
          </w:p>
        </w:tc>
      </w:tr>
      <w:tr>
        <w:trPr>
          <w:trHeight w:val="414"/>
        </w:trPr>
        <w:tc>
          <w:tcPr>
            <w:tcW w:w="4760" w:type="dxa"/>
            <w:vAlign w:val="bottom"/>
          </w:tcPr>
          <w:p>
            <w:pPr>
              <w:spacing w:after="0"/>
              <w:rPr>
                <w:sz w:val="24"/>
                <w:szCs w:val="24"/>
                <w:color w:val="auto"/>
              </w:rPr>
            </w:pPr>
          </w:p>
        </w:tc>
        <w:tc>
          <w:tcPr>
            <w:tcW w:w="22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8"/>
              </w:rPr>
              <w:t>Trading</w:t>
            </w:r>
          </w:p>
        </w:tc>
        <w:tc>
          <w:tcPr>
            <w:tcW w:w="4280" w:type="dxa"/>
            <w:vAlign w:val="bottom"/>
          </w:tcPr>
          <w:p>
            <w:pPr>
              <w:spacing w:after="0"/>
              <w:rPr>
                <w:sz w:val="24"/>
                <w:szCs w:val="24"/>
                <w:color w:val="auto"/>
              </w:rPr>
            </w:pPr>
          </w:p>
        </w:tc>
      </w:tr>
      <w:tr>
        <w:trPr>
          <w:trHeight w:val="234"/>
        </w:trPr>
        <w:tc>
          <w:tcPr>
            <w:tcW w:w="4760" w:type="dxa"/>
            <w:vAlign w:val="bottom"/>
            <w:tcBorders>
              <w:bottom w:val="single" w:sz="8" w:color="auto"/>
            </w:tcBorders>
          </w:tcPr>
          <w:p>
            <w:pPr>
              <w:jc w:val="center"/>
              <w:ind w:right="710"/>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color w:val="auto"/>
                <w:w w:val="98"/>
              </w:rPr>
              <w:t>Symbol(s)</w:t>
            </w:r>
          </w:p>
        </w:tc>
        <w:tc>
          <w:tcPr>
            <w:tcW w:w="4280" w:type="dxa"/>
            <w:vAlign w:val="bottom"/>
            <w:tcBorders>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4760" w:type="dxa"/>
            <w:vAlign w:val="bottom"/>
          </w:tcPr>
          <w:p>
            <w:pPr>
              <w:jc w:val="center"/>
              <w:ind w:right="710"/>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20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MRKR</w:t>
            </w:r>
          </w:p>
        </w:tc>
        <w:tc>
          <w:tcPr>
            <w:tcW w:w="42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42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On May 15, 2024, Marker Therapeutics,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reported financial results for the quarter ended March 31, 2024 and other recent corporate updates. A copy of the press release is furnished as Exhibit 99.1 to this report and incorporated by reference.</w:t>
      </w:r>
    </w:p>
    <w:p>
      <w:pPr>
        <w:spacing w:after="0" w:line="15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of this Current Report on 8-K (including Exhibit 99.1) is furnished and shall not be deemed “filed” for purposes of Section 18 of the Securities Exchange Act of 1934, as amended, or subject to the liabilities of that section or Sections 11 and 12(a)(2) of the Securities Act of 1933, as amended. The information shall not be deemed incorporated by reference into any other filing with the Securities and Exchange Commission made by the Company, whether made before or after today’s date, regardless of any general incorporation language in such filing, except as shall be expressly set forth by specific references in such filing.</w:t>
      </w:r>
    </w:p>
    <w:p>
      <w:pPr>
        <w:spacing w:after="0" w:line="17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1"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7"/>
          <w:szCs w:val="17"/>
          <w:b w:val="1"/>
          <w:bCs w:val="1"/>
          <w:u w:val="single" w:color="auto"/>
          <w:color w:val="auto"/>
        </w:rPr>
        <w:t>Description</w:t>
      </w:r>
    </w:p>
    <w:p>
      <w:pPr>
        <w:spacing w:after="0" w:line="229" w:lineRule="exact"/>
        <w:rPr>
          <w:sz w:val="20"/>
          <w:szCs w:val="20"/>
          <w:color w:val="auto"/>
        </w:rPr>
      </w:pPr>
    </w:p>
    <w:p>
      <w:pPr>
        <w:ind w:left="48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dated May 15, 2024.</w:t>
      </w:r>
    </w:p>
    <w:p>
      <w:pPr>
        <w:spacing w:after="0" w:line="27" w:lineRule="exact"/>
        <w:rPr>
          <w:sz w:val="20"/>
          <w:szCs w:val="20"/>
          <w:color w:val="auto"/>
        </w:rPr>
      </w:pPr>
    </w:p>
    <w:p>
      <w:pPr>
        <w:ind w:left="50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80" w:type="dxa"/>
            <w:vAlign w:val="bottom"/>
          </w:tcPr>
          <w:p>
            <w:pPr>
              <w:spacing w:after="0"/>
              <w:rPr>
                <w:sz w:val="20"/>
                <w:szCs w:val="20"/>
                <w:color w:val="auto"/>
              </w:rPr>
            </w:pPr>
          </w:p>
        </w:tc>
        <w:tc>
          <w:tcPr>
            <w:tcW w:w="766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Marker Therapeutics, Inc.</w:t>
            </w:r>
          </w:p>
        </w:tc>
      </w:tr>
      <w:tr>
        <w:trPr>
          <w:trHeight w:val="432"/>
        </w:trPr>
        <w:tc>
          <w:tcPr>
            <w:tcW w:w="3580" w:type="dxa"/>
            <w:vAlign w:val="bottom"/>
          </w:tcPr>
          <w:p>
            <w:pPr>
              <w:spacing w:after="0"/>
              <w:rPr>
                <w:sz w:val="20"/>
                <w:szCs w:val="20"/>
                <w:color w:val="auto"/>
              </w:rPr>
            </w:pPr>
            <w:r>
              <w:rPr>
                <w:rFonts w:ascii="Times New Roman" w:cs="Times New Roman" w:eastAsia="Times New Roman" w:hAnsi="Times New Roman"/>
                <w:sz w:val="18"/>
                <w:szCs w:val="18"/>
                <w:color w:val="auto"/>
              </w:rPr>
              <w:t>Dated: May 15, 2024</w:t>
            </w:r>
          </w:p>
        </w:tc>
        <w:tc>
          <w:tcPr>
            <w:tcW w:w="2620" w:type="dxa"/>
            <w:vAlign w:val="bottom"/>
          </w:tcPr>
          <w:p>
            <w:pPr>
              <w:ind w:left="206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Juan Vera</w:t>
            </w:r>
          </w:p>
        </w:tc>
      </w:tr>
      <w:tr>
        <w:trPr>
          <w:trHeight w:val="189"/>
        </w:trPr>
        <w:tc>
          <w:tcPr>
            <w:tcW w:w="35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50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Juan Vera</w:t>
            </w:r>
          </w:p>
        </w:tc>
      </w:tr>
      <w:tr>
        <w:trPr>
          <w:trHeight w:val="236"/>
        </w:trPr>
        <w:tc>
          <w:tcPr>
            <w:tcW w:w="35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75"/>
        </w:trPr>
        <w:tc>
          <w:tcPr>
            <w:tcW w:w="35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ind w:left="10260"/>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014220" cy="5657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1422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Reports First Quarter 2024 Financial Results and Provides Business Updates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Preliminary safety and efficacy with sustained objective responses observed in patients with lymphoma treated with MT-601 in Phase 1 APOLLO study</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Study participant with Non-Hodgkin’s Lymphoma who relapsed within 90 days of anti-CD19 CAR T cell therapy remains in complete response nine months after MT-601 treatment</w:t>
      </w:r>
    </w:p>
    <w:p>
      <w:pPr>
        <w:spacing w:after="0" w:line="158"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Company received approval from United States Adopted Name (USAN) council and International Nonproprietary Names (INN) expert committee for “neldaleucel” as nonproprietary name for MT-601</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Houston, TX — May 15, 2024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Marker Therapeutics, Inc</w:t>
      </w:r>
      <w:r>
        <w:rPr>
          <w:rFonts w:ascii="Times New Roman" w:cs="Times New Roman" w:eastAsia="Times New Roman" w:hAnsi="Times New Roman"/>
          <w:sz w:val="18"/>
          <w:szCs w:val="18"/>
          <w:color w:val="auto"/>
        </w:rPr>
        <w:t>. (Nasdaq: MRKR), a clinical-stage immuno-oncology company focusing on developing next-generation T cell-based immunotherapies for the treatment of hematological malignancies and solid tumors, today reported corporate updates and financial results for the first quarter ended March 31, 2024.</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pleased to report a strong start to the first quarter of 2024, marked by continued advances in our clinical programs,” said Juan Vera, M.D., President and Chief Executive Officer of Marker Therapeutics. “Building on our positive results, we continue to observe objective responses in our Phase 1 APOLLO study investigating MT-601 in patients with lymphoma who have relapsed or are ineligible for CAR T therapy. We recently announced that our first patient treated in this study achieved a complete response, which was maintained nine months after initial treatment with MT-601. This patient relapsed within 90 days of CAR T therapy, indicating that MT-601 has superior durability in this study participant. In April, our Principal Investigator at City of Hope National Medical Center was invited to share his findings from the APOLLO trial at a medical conference, where he presented data from two additional study participants and that three out of three subjects treated at City of Hope demonstrated objective responses. While we plan to provide a more comprehensive clinical update on the APOLLO study in the second half of this year, we are encouraged by these preliminary results, which underscore the potential benefit of MT-601 in patients with lymphoma.”</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“Another significant milestone this quarter was to receive approval from the United States Adopted Name (USAN) council and International Nonproprietary Names (INN) expert committee for “</w:t>
      </w:r>
      <w:r>
        <w:rPr>
          <w:rFonts w:ascii="Times New Roman" w:cs="Times New Roman" w:eastAsia="Times New Roman" w:hAnsi="Times New Roman"/>
          <w:sz w:val="18"/>
          <w:szCs w:val="18"/>
          <w:i w:val="1"/>
          <w:iCs w:val="1"/>
          <w:color w:val="auto"/>
        </w:rPr>
        <w:t>neldaleucel</w:t>
      </w:r>
      <w:r>
        <w:rPr>
          <w:rFonts w:ascii="Times New Roman" w:cs="Times New Roman" w:eastAsia="Times New Roman" w:hAnsi="Times New Roman"/>
          <w:sz w:val="18"/>
          <w:szCs w:val="18"/>
          <w:color w:val="auto"/>
        </w:rPr>
        <w:t>” as nonproprietary drug name for MT-601. Having made these steady advances, we are confident that we are well positioned to achieve our near- and long-term goals related to MT-601 in patients with lymphoma,” concluded Dr. Vera.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5829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829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PROGRAM UPDATES &amp; EXPECTED MILESTONES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(Lymphoma)</w:t>
      </w:r>
    </w:p>
    <w:p>
      <w:pPr>
        <w:spacing w:after="0" w:line="229" w:lineRule="exact"/>
        <w:rPr>
          <w:sz w:val="20"/>
          <w:szCs w:val="20"/>
          <w:color w:val="auto"/>
        </w:rPr>
      </w:pPr>
    </w:p>
    <w:p>
      <w:pPr>
        <w:ind w:left="66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multicenter APOLLO trial (clinicaltrials.gov identifier: NCT05798897), investigating MT-601 in patients with lymphoma who relapsed or are ineligible for anti-CD19 CAR T cell therapies, was</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selected as lead program based on promising preliminary clinical results and non-clinical proof-of-concept data (</w:t>
      </w:r>
      <w:r>
        <w:rPr>
          <w:rFonts w:ascii="Times New Roman" w:cs="Times New Roman" w:eastAsia="Times New Roman" w:hAnsi="Times New Roman"/>
          <w:sz w:val="18"/>
          <w:szCs w:val="18"/>
          <w:u w:val="single" w:color="auto"/>
          <w:color w:val="auto"/>
        </w:rPr>
        <w:t>Press Release, January 8, 2024</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Three patients were treated at City of Hope National Medical Center as part of the APOLLO study:</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1"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study participant treated with MT-601 had diffuse large B cell lymphoma (DLBCL) and failed four prior lines of therapy, including a relapse within 90 days of anti-CD19 CAR T cell therapy (Breyanzi) (</w:t>
      </w:r>
      <w:r>
        <w:rPr>
          <w:rFonts w:ascii="Times New Roman" w:cs="Times New Roman" w:eastAsia="Times New Roman" w:hAnsi="Times New Roman"/>
          <w:sz w:val="18"/>
          <w:szCs w:val="18"/>
          <w:u w:val="single" w:color="auto"/>
          <w:color w:val="auto"/>
        </w:rPr>
        <w:t>Press Release, June 12, 2023</w:t>
      </w:r>
      <w:r>
        <w:rPr>
          <w:rFonts w:ascii="Times New Roman" w:cs="Times New Roman" w:eastAsia="Times New Roman" w:hAnsi="Times New Roman"/>
          <w:sz w:val="18"/>
          <w:szCs w:val="18"/>
          <w:color w:val="auto"/>
        </w:rPr>
        <w:t>). Without prior lymphodepletion, this participant achieved a complete response eight weeks after the second infusion of MT-601 and remains in complete response nine months after initial treatment with MT-601 (</w:t>
      </w:r>
      <w:r>
        <w:rPr>
          <w:rFonts w:ascii="Times New Roman" w:cs="Times New Roman" w:eastAsia="Times New Roman" w:hAnsi="Times New Roman"/>
          <w:sz w:val="18"/>
          <w:szCs w:val="18"/>
          <w:u w:val="single" w:color="auto"/>
          <w:color w:val="auto"/>
        </w:rPr>
        <w:t>Press Release, April 8, 2024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Another study participant had transformed follicular Non-Hodgkin’s Lymphoma (NHL) and failed 12 lines of therapy, including bispecific T cell engager therapy (mosunetuzumab) for follicular NHL, and anti-CD19 CAR T cells (Yescarta) after transformation into DLBCL. At the time of MT-601 infusion, only follicular NHL persisted in this patient. Eight weeks after initial infusion with MT-601 without prior lymphodepletion, the study participant achieved a complete response, which remains three months following treatment with MT-601(</w:t>
      </w:r>
      <w:r>
        <w:rPr>
          <w:rFonts w:ascii="Times New Roman" w:cs="Times New Roman" w:eastAsia="Times New Roman" w:hAnsi="Times New Roman"/>
          <w:sz w:val="18"/>
          <w:szCs w:val="18"/>
          <w:u w:val="single" w:color="auto"/>
          <w:color w:val="auto"/>
        </w:rPr>
        <w:t>Press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Release, April 8, 2024</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study participant treated had DLBCL with cutaneous involvement and was not eligible for CAR T cell therapy. This participant achieved a partial response eight weeks after MT-601 treatment without prior lymphodepletion with all lesions decreasing in size including one that has completely resolved (</w:t>
      </w:r>
      <w:r>
        <w:rPr>
          <w:rFonts w:ascii="Times New Roman" w:cs="Times New Roman" w:eastAsia="Times New Roman" w:hAnsi="Times New Roman"/>
          <w:sz w:val="18"/>
          <w:szCs w:val="18"/>
          <w:u w:val="single" w:color="auto"/>
          <w:color w:val="auto"/>
        </w:rPr>
        <w:t>Press Release, April 8, 2024</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Treatment was well tolerated among all patients with no significant treatment-related adverse events including cytokine release syndrome or neurotoxicity.</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patients continue to be observed for durability of response.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enrolling additional patients in the Phase 1 APOLLO trial and expects to report further data in the second half of 2024.</w:t>
      </w:r>
    </w:p>
    <w:p>
      <w:pPr>
        <w:spacing w:after="0" w:line="223" w:lineRule="exact"/>
        <w:rPr>
          <w:rFonts w:ascii="Times New Roman" w:cs="Times New Roman" w:eastAsia="Times New Roman" w:hAnsi="Times New Roman"/>
          <w:sz w:val="18"/>
          <w:szCs w:val="18"/>
          <w:color w:val="auto"/>
        </w:rPr>
      </w:pPr>
    </w:p>
    <w:p>
      <w:pPr>
        <w:ind w:left="660" w:right="20" w:hanging="328"/>
        <w:spacing w:after="0" w:line="284"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MT-601 designated non-proprietary name “</w:t>
      </w:r>
      <w:r>
        <w:rPr>
          <w:rFonts w:ascii="Times New Roman" w:cs="Times New Roman" w:eastAsia="Times New Roman" w:hAnsi="Times New Roman"/>
          <w:sz w:val="18"/>
          <w:szCs w:val="18"/>
          <w:i w:val="1"/>
          <w:iCs w:val="1"/>
          <w:color w:val="auto"/>
        </w:rPr>
        <w:t>neldaleucel</w:t>
      </w:r>
      <w:r>
        <w:rPr>
          <w:rFonts w:ascii="Times New Roman" w:cs="Times New Roman" w:eastAsia="Times New Roman" w:hAnsi="Times New Roman"/>
          <w:sz w:val="18"/>
          <w:szCs w:val="18"/>
          <w:color w:val="auto"/>
        </w:rPr>
        <w:t>” by United States Adopted Name (USAN) Counsel and International Nonproprietary Names (INN) Expert Committee.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MT-601 (Pancreatic)</w:t>
      </w:r>
    </w:p>
    <w:p>
      <w:pPr>
        <w:spacing w:after="0" w:line="229"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Investigational New Drug (IND) application cleared by U.S. Food and Drug Administration (FDA) for multicenter Phase 1 trial of MT-601 in patients with metastatic pancreatic cancer in combination with front-line chemotherapy.</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advancement will be pending additional financial support from non-dilutive grant activities.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MT-401-OTS (Acute Myeloid Leukemia or Myelodysplastic Syndrome)</w:t>
      </w:r>
    </w:p>
    <w:p>
      <w:pPr>
        <w:spacing w:after="0" w:line="229" w:lineRule="exact"/>
        <w:rPr>
          <w:sz w:val="20"/>
          <w:szCs w:val="20"/>
          <w:color w:val="auto"/>
        </w:rPr>
      </w:pPr>
    </w:p>
    <w:p>
      <w:pPr>
        <w:ind w:left="6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streamline resources and to reduce time to treatment, Marker decided to discontinue the patient-specific part of the Acute Myeloid Leukemia (AML) program and to focus on a ready for use “Off-the-Shelf” product (</w:t>
      </w:r>
      <w:r>
        <w:rPr>
          <w:rFonts w:ascii="Times New Roman" w:cs="Times New Roman" w:eastAsia="Times New Roman" w:hAnsi="Times New Roman"/>
          <w:sz w:val="18"/>
          <w:szCs w:val="18"/>
          <w:u w:val="single" w:color="auto"/>
          <w:color w:val="auto"/>
        </w:rPr>
        <w:t>Press Release, January 8, 2024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8293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jc w:val="both"/>
        <w:ind w:left="660" w:hanging="328"/>
        <w:spacing w:after="0" w:line="26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FDA has granted an Investigational New Drug (IND) to investigate MT-401 as an “Off-the-Shelf” (MT-401-OTS) product in patients with Acute Myeloid Leukemia (AML) or Myelodysplastic Syndrome (MDS). MT-401-OTS is manufactured from healthy donors, and Marker has established a cellular inventory with ongoing efforts of expanding it further.</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Orphan Drug Designation from the European Medicines Agency (EMA) and U.S. FDA.</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Marker has non-clinical proof-of-concept data supporting the clinical benefits of MT-401-OTS in AML and secured $2M in non-dilutive funding from the NIH Small Business Innovation Research (SBIR) program to support the clinical investigation of MT-401-OTS in patients with AML.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program initiation of MT-401-OTS anticipated for the second half of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2024 FINANCIAL HIGHLIGHTS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Cash Position and Guidance</w:t>
      </w:r>
      <w:r>
        <w:rPr>
          <w:rFonts w:ascii="Times New Roman" w:cs="Times New Roman" w:eastAsia="Times New Roman" w:hAnsi="Times New Roman"/>
          <w:sz w:val="18"/>
          <w:szCs w:val="18"/>
          <w:color w:val="auto"/>
        </w:rPr>
        <w:t>: At March 31, 2024, Marker had cash and cash equivalents of $11.3 million. The Company believes that its existing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cash equivalents will fund its operating expenses into the fourth quarter of 2025, inclusive of available drawdowns from grant funds.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R&amp;D Expenses</w:t>
      </w:r>
      <w:r>
        <w:rPr>
          <w:rFonts w:ascii="Times New Roman" w:cs="Times New Roman" w:eastAsia="Times New Roman" w:hAnsi="Times New Roman"/>
          <w:sz w:val="18"/>
          <w:szCs w:val="18"/>
          <w:color w:val="auto"/>
        </w:rPr>
        <w:t>: Research and development expenses were $2.6 million for the quarter ended March 31, 2024, compared to $3.4 million for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2023.</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G&amp;A Expenses</w:t>
      </w:r>
      <w:r>
        <w:rPr>
          <w:rFonts w:ascii="Times New Roman" w:cs="Times New Roman" w:eastAsia="Times New Roman" w:hAnsi="Times New Roman"/>
          <w:sz w:val="18"/>
          <w:szCs w:val="18"/>
          <w:color w:val="auto"/>
        </w:rPr>
        <w:t>: General and administrative expenses were $1.2 million for the quarter ended March 31, 2024, compared to $2.2 million for the quarter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March 31, 2023.</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Net Loss</w:t>
      </w:r>
      <w:r>
        <w:rPr>
          <w:rFonts w:ascii="Times New Roman" w:cs="Times New Roman" w:eastAsia="Times New Roman" w:hAnsi="Times New Roman"/>
          <w:sz w:val="18"/>
          <w:szCs w:val="18"/>
          <w:color w:val="auto"/>
        </w:rPr>
        <w:t>: Marker reported a net loss of $2.4 million for the quarter ended March 31, 2024, compared to a net loss of $4.9 million for the quarter 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March 31, 2023.</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multiTAA-specific T cells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multi-tumor associated antigen (multiTAA)-specific T cell platform is a novel, non-genetically modified cell therapy approach that selectively expands tumor-specific T cells from a patient's/donor’s blood capable of recognizing a broad range of tumor antigens. Since multiTAA-specific T cells are not genetically engineered, Marker believes that its product candidates will be easier and less expensive to manufacture, with reduced toxicities, compared to current engineered CAR-T and TCR-based approaches, and may provide patients with meaningful clinical benefits. As a result, Marker believes that its portfolio of T cell therapies has a compelling product profile, as compared to current gene-modified CAR-T and TCR-based therapies.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Marker Therapeutics, Inc.</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Marker Therapeutics, Inc. is a Houston, TX-based clinical-stage immuno-oncology company specializing in the development of next-generation T cell-based immunotherapies for the treatment of hematological malignancies and solid tumors. Clinical trials that enrolled more than 200 patients across various hematological and solid tumor indications showed that the Company’s autologous and allogeneic multiTAA-specific T cell products were well tolerated and demonstrated durable clinical responses. Marker’s goal is to introduce novel T cell therapies to the market and improve patient outcomes. To achieve these objectives, the Company prioritizes the preservation of financial resources and focuses on operational excellence. Marker’s unique T cell platform is strengthened by non-dilutive funding from U.S. state and federal agencies supporting cancer research.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422275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82930"/>
                    </a:xfrm>
                    <a:prstGeom prst="rect">
                      <a:avLst/>
                    </a:prstGeom>
                    <a:noFill/>
                  </pic:spPr>
                </pic:pic>
              </a:graphicData>
            </a:graphic>
          </wp:anchor>
        </w:drawing>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To receive future press releases via email, please visit: </w:t>
      </w:r>
      <w:r>
        <w:rPr>
          <w:rFonts w:ascii="Times New Roman" w:cs="Times New Roman" w:eastAsia="Times New Roman" w:hAnsi="Times New Roman"/>
          <w:sz w:val="18"/>
          <w:szCs w:val="18"/>
          <w:u w:val="single" w:color="auto"/>
          <w:color w:val="auto"/>
        </w:rPr>
        <w:t>https://www.markertherapeutics.com/email-alerts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release contains forward-looking statements for purposes of the safe harbor provisions of the Private Securities Litigation Reform Act of 1995. Statements in this news release concerning the Company’s expectations, plans, business outlook or future performance, and any other statements concerning assumptions made or expectations as to any future events, conditions, performance or other matters, are “forward-looking statements.” Forward-looking statements include statements regarding our intentions, beliefs, projections, outlook, analyses or current expectations concerning, among other things: our research, development and regulatory activities and expectations relating to our non-engineered multi-tumor antigen specific T cell therapies; the effectiveness of these programs or the possible range of application and potential curative effects and safety in the treatment of diseases; and the timing, conduct and success of our clinical trials of our product candidates, including MT-601 and MT-401-OTS. Forward-looking statements are by their nature subject to risks, uncertainties and other factors which could cause actual results to differ materially from those stated in such statements. Such risks, uncertainties and factors include, but are not limited to the risks set forth in the Company’s most recent Form 10-K, 10-Q and other SEC filings which are available through EDGAR at WWW.SEC.GOV. The Company assumes no obligation to update our forward-looking statements whether as a result of new information, future events or otherwise, after the date of this 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5829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829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8"/>
        </w:trPr>
        <w:tc>
          <w:tcPr>
            <w:tcW w:w="83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11,323,428</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15,111,450</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917,009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988,126</w:t>
            </w: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receivables</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1,851,462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1,027,815</w:t>
            </w:r>
          </w:p>
        </w:tc>
        <w:tc>
          <w:tcPr>
            <w:tcW w:w="80" w:type="dxa"/>
            <w:vAlign w:val="bottom"/>
            <w:shd w:val="clear" w:color="auto" w:fill="CCEEFF"/>
          </w:tcPr>
          <w:p>
            <w:pPr>
              <w:spacing w:after="0"/>
              <w:rPr>
                <w:sz w:val="18"/>
                <w:szCs w:val="18"/>
                <w:color w:val="auto"/>
              </w:rPr>
            </w:pPr>
          </w:p>
        </w:tc>
      </w:tr>
      <w:tr>
        <w:trPr>
          <w:trHeight w:val="209"/>
        </w:trPr>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14,091,899</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17,127,391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14,091,899</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17,127,391</w:t>
            </w:r>
          </w:p>
        </w:tc>
        <w:tc>
          <w:tcPr>
            <w:tcW w:w="80" w:type="dxa"/>
            <w:vAlign w:val="bottom"/>
            <w:shd w:val="clear" w:color="auto" w:fill="CCEEFF"/>
          </w:tcPr>
          <w:p>
            <w:pPr>
              <w:spacing w:after="0"/>
              <w:rPr>
                <w:sz w:val="18"/>
                <w:szCs w:val="18"/>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197"/>
        </w:trPr>
        <w:tc>
          <w:tcPr>
            <w:tcW w:w="8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8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1,949,700</w:t>
            </w: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1,745,193</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Related party payable</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353,965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1,329,655</w:t>
            </w:r>
          </w:p>
        </w:tc>
        <w:tc>
          <w:tcPr>
            <w:tcW w:w="80" w:type="dxa"/>
            <w:vAlign w:val="bottom"/>
          </w:tcPr>
          <w:p>
            <w:pPr>
              <w:spacing w:after="0"/>
              <w:rPr>
                <w:sz w:val="18"/>
                <w:szCs w:val="18"/>
                <w:color w:val="auto"/>
              </w:rPr>
            </w:pPr>
          </w:p>
        </w:tc>
      </w:tr>
      <w:tr>
        <w:trPr>
          <w:trHeight w:val="209"/>
        </w:trPr>
        <w:tc>
          <w:tcPr>
            <w:tcW w:w="83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2,303,665</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3,074,848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2,303,665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3,074,848</w:t>
            </w:r>
          </w:p>
        </w:tc>
        <w:tc>
          <w:tcPr>
            <w:tcW w:w="80" w:type="dxa"/>
            <w:vAlign w:val="bottom"/>
          </w:tcPr>
          <w:p>
            <w:pPr>
              <w:spacing w:after="0"/>
              <w:rPr>
                <w:sz w:val="18"/>
                <w:szCs w:val="18"/>
                <w:color w:val="auto"/>
              </w:rPr>
            </w:pPr>
          </w:p>
        </w:tc>
      </w:tr>
      <w:tr>
        <w:trPr>
          <w:trHeight w:val="210"/>
        </w:trPr>
        <w:tc>
          <w:tcPr>
            <w:tcW w:w="8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830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830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5 million shares authorized, 0 shares issued and outstanding at March 31,</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83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2024 and December 31, 2023, respectively</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30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30 million shares authorized, 8.9 million issued and outstanding as of March</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83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2024 and December 31, 2023, respectively</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8,910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8,891</w:t>
            </w:r>
          </w:p>
        </w:tc>
        <w:tc>
          <w:tcPr>
            <w:tcW w:w="80" w:type="dxa"/>
            <w:vAlign w:val="bottom"/>
          </w:tcPr>
          <w:p>
            <w:pPr>
              <w:spacing w:after="0"/>
              <w:rPr>
                <w:sz w:val="20"/>
                <w:szCs w:val="20"/>
                <w:color w:val="auto"/>
              </w:rPr>
            </w:pPr>
          </w:p>
        </w:tc>
      </w:tr>
      <w:tr>
        <w:trPr>
          <w:trHeight w:val="216"/>
        </w:trPr>
        <w:tc>
          <w:tcPr>
            <w:tcW w:w="83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450,458,009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450,329,515</w:t>
            </w:r>
          </w:p>
        </w:tc>
        <w:tc>
          <w:tcPr>
            <w:tcW w:w="80" w:type="dxa"/>
            <w:vAlign w:val="bottom"/>
            <w:shd w:val="clear" w:color="auto" w:fill="CCEEFF"/>
          </w:tcPr>
          <w:p>
            <w:pPr>
              <w:spacing w:after="0"/>
              <w:rPr>
                <w:sz w:val="18"/>
                <w:szCs w:val="18"/>
                <w:color w:val="auto"/>
              </w:rPr>
            </w:pPr>
          </w:p>
        </w:tc>
      </w:tr>
      <w:tr>
        <w:trPr>
          <w:trHeight w:val="216"/>
        </w:trPr>
        <w:tc>
          <w:tcPr>
            <w:tcW w:w="83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(438,678,685)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(436,285,863)</w:t>
            </w:r>
          </w:p>
        </w:tc>
      </w:tr>
      <w:tr>
        <w:trPr>
          <w:trHeight w:val="210"/>
        </w:trPr>
        <w:tc>
          <w:tcPr>
            <w:tcW w:w="83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11,788,234</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14,052,543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8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14,091,899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17,127,391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56"/>
        </w:trPr>
        <w:tc>
          <w:tcPr>
            <w:tcW w:w="8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5829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829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7"/>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65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tcPr>
          <w:p>
            <w:pPr>
              <w:spacing w:after="0"/>
              <w:rPr>
                <w:sz w:val="18"/>
                <w:szCs w:val="18"/>
                <w:color w:val="auto"/>
              </w:rPr>
            </w:pPr>
          </w:p>
        </w:tc>
        <w:tc>
          <w:tcPr>
            <w:tcW w:w="19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 income</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1,244,061</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1,234,336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1,244,061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1,234,336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2,575,015</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3,376,497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1,218,063</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2,167,318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3,793,078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5,543,815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(2,549,017)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(4,309,479)</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income (expenses):</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156,195</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84,654</w:t>
            </w:r>
          </w:p>
        </w:tc>
        <w:tc>
          <w:tcPr>
            <w:tcW w:w="0" w:type="dxa"/>
            <w:vAlign w:val="bottom"/>
          </w:tcPr>
          <w:p>
            <w:pPr>
              <w:spacing w:after="0"/>
              <w:rPr>
                <w:sz w:val="1"/>
                <w:szCs w:val="1"/>
                <w:color w:val="auto"/>
              </w:rPr>
            </w:pPr>
          </w:p>
        </w:tc>
      </w:tr>
      <w:tr>
        <w:trPr>
          <w:trHeight w:val="209"/>
        </w:trPr>
        <w:tc>
          <w:tcPr>
            <w:tcW w:w="6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continuing operations</w:t>
            </w:r>
          </w:p>
        </w:tc>
        <w:tc>
          <w:tcPr>
            <w:tcW w:w="19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(2,392,822)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(4,224,825)</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Discontinued operations:</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discontinued operations, net of tax</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(742,751)</w:t>
            </w:r>
          </w:p>
        </w:tc>
        <w:tc>
          <w:tcPr>
            <w:tcW w:w="0" w:type="dxa"/>
            <w:vAlign w:val="bottom"/>
          </w:tcPr>
          <w:p>
            <w:pPr>
              <w:spacing w:after="0"/>
              <w:rPr>
                <w:sz w:val="1"/>
                <w:szCs w:val="1"/>
                <w:color w:val="auto"/>
              </w:rPr>
            </w:pPr>
          </w:p>
        </w:tc>
      </w:tr>
      <w:tr>
        <w:trPr>
          <w:trHeight w:val="209"/>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(loss) from discontinued operations</w:t>
            </w:r>
          </w:p>
        </w:tc>
        <w:tc>
          <w:tcPr>
            <w:tcW w:w="19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(742,751)</w:t>
            </w:r>
          </w:p>
        </w:tc>
        <w:tc>
          <w:tcPr>
            <w:tcW w:w="100" w:type="dxa"/>
            <w:vAlign w:val="bottom"/>
            <w:tcBorders>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9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(2,392,822</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(4,967,576</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5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earnings (loss) per share:</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6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from continuing operations, basic and diluted</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(0.27)</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(0.48)</w:t>
            </w:r>
          </w:p>
        </w:tc>
        <w:tc>
          <w:tcPr>
            <w:tcW w:w="0" w:type="dxa"/>
            <w:vAlign w:val="bottom"/>
          </w:tcPr>
          <w:p>
            <w:pPr>
              <w:spacing w:after="0"/>
              <w:rPr>
                <w:sz w:val="1"/>
                <w:szCs w:val="1"/>
                <w:color w:val="auto"/>
              </w:rPr>
            </w:pPr>
          </w:p>
        </w:tc>
      </w:tr>
      <w:tr>
        <w:trPr>
          <w:trHeight w:val="197"/>
        </w:trPr>
        <w:tc>
          <w:tcPr>
            <w:tcW w:w="654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Income (loss) from discontinued operations, basic and diluted</w:t>
            </w:r>
          </w:p>
        </w:tc>
        <w:tc>
          <w:tcPr>
            <w:tcW w:w="19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5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9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line="20" w:lineRule="exact"/>
              <w:rPr>
                <w:sz w:val="1"/>
                <w:szCs w:val="1"/>
                <w:color w:val="auto"/>
              </w:rPr>
            </w:pPr>
          </w:p>
        </w:tc>
      </w:tr>
      <w:tr>
        <w:trPr>
          <w:trHeight w:val="236"/>
        </w:trPr>
        <w:tc>
          <w:tcPr>
            <w:tcW w:w="6540" w:type="dxa"/>
            <w:vAlign w:val="bottom"/>
            <w:tcBorders>
              <w:bottom w:val="single" w:sz="8" w:color="CCEEFF"/>
            </w:tcBorders>
            <w:vMerge w:val="continue"/>
          </w:tcPr>
          <w:p>
            <w:pPr>
              <w:spacing w:after="0"/>
              <w:rPr>
                <w:sz w:val="20"/>
                <w:szCs w:val="20"/>
                <w:color w:val="auto"/>
              </w:rPr>
            </w:pPr>
          </w:p>
        </w:tc>
        <w:tc>
          <w:tcPr>
            <w:tcW w:w="190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(0.27</w:t>
            </w:r>
          </w:p>
        </w:tc>
        <w:tc>
          <w:tcPr>
            <w:tcW w:w="14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(0.57</w:t>
            </w:r>
          </w:p>
        </w:tc>
        <w:tc>
          <w:tcPr>
            <w:tcW w:w="100" w:type="dxa"/>
            <w:vAlign w:val="bottom"/>
            <w:tcBorders>
              <w:bottom w:val="single" w:sz="8" w:color="CCEEFF"/>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540" w:type="dxa"/>
            <w:vAlign w:val="bottom"/>
            <w:shd w:val="clear" w:color="auto" w:fill="CCEEFF"/>
          </w:tcPr>
          <w:p>
            <w:pPr>
              <w:spacing w:after="0"/>
              <w:rPr>
                <w:sz w:val="17"/>
                <w:szCs w:val="17"/>
                <w:color w:val="auto"/>
              </w:rPr>
            </w:pPr>
          </w:p>
        </w:tc>
        <w:tc>
          <w:tcPr>
            <w:tcW w:w="1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1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8,901,962</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8,721,031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40" w:type="dxa"/>
            <w:vAlign w:val="bottom"/>
            <w:vMerge w:val="continue"/>
          </w:tcPr>
          <w:p>
            <w:pPr>
              <w:spacing w:after="0"/>
              <w:rPr>
                <w:sz w:val="17"/>
                <w:szCs w:val="17"/>
                <w:color w:val="auto"/>
              </w:rPr>
            </w:pPr>
          </w:p>
        </w:tc>
        <w:tc>
          <w:tcPr>
            <w:tcW w:w="19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8,901,962</w:t>
            </w:r>
          </w:p>
        </w:tc>
        <w:tc>
          <w:tcPr>
            <w:tcW w:w="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8,721,031</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65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031365" cy="5829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031365" cy="58293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Marker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40" w:type="dxa"/>
            <w:vAlign w:val="bottom"/>
            <w:gridSpan w:val="6"/>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7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7040" w:type="dxa"/>
            <w:vAlign w:val="bottom"/>
            <w:tcBorders>
              <w:bottom w:val="single" w:sz="8" w:color="CCEEFF"/>
            </w:tcBorders>
          </w:tcPr>
          <w:p>
            <w:pPr>
              <w:spacing w:after="0"/>
              <w:rPr>
                <w:sz w:val="18"/>
                <w:szCs w:val="18"/>
                <w:color w:val="auto"/>
              </w:rPr>
            </w:pPr>
          </w:p>
        </w:tc>
        <w:tc>
          <w:tcPr>
            <w:tcW w:w="1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CCEEFF"/>
            </w:tcBorders>
          </w:tcPr>
          <w:p>
            <w:pPr>
              <w:spacing w:after="0"/>
              <w:rPr>
                <w:sz w:val="18"/>
                <w:szCs w:val="18"/>
                <w:color w:val="auto"/>
              </w:rPr>
            </w:pPr>
          </w:p>
        </w:tc>
      </w:tr>
      <w:tr>
        <w:trPr>
          <w:trHeight w:val="20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(2,392,822)</w:t>
            </w:r>
          </w:p>
        </w:tc>
        <w:tc>
          <w:tcPr>
            <w:tcW w:w="4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(4,967,576)</w:t>
            </w: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loss from discontinued operations, net of tax</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(742,751)</w:t>
            </w:r>
          </w:p>
        </w:tc>
      </w:tr>
      <w:tr>
        <w:trPr>
          <w:trHeight w:val="209"/>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 from continuing operations</w:t>
            </w:r>
          </w:p>
        </w:tc>
        <w:tc>
          <w:tcPr>
            <w:tcW w:w="14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(2,392,822)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(4,224,825)</w:t>
            </w: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Reconciliation of net loss to net cash used in operating activities: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79,417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659,913</w:t>
            </w:r>
          </w:p>
        </w:tc>
      </w:tr>
      <w:tr>
        <w:trPr>
          <w:trHeight w:val="216"/>
        </w:trPr>
        <w:tc>
          <w:tcPr>
            <w:tcW w:w="7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deposits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71,117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36,452</w:t>
            </w:r>
          </w:p>
        </w:tc>
      </w:tr>
      <w:tr>
        <w:trPr>
          <w:trHeight w:val="216"/>
        </w:trPr>
        <w:tc>
          <w:tcPr>
            <w:tcW w:w="7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receivables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(823,647)</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1,319,118</w:t>
            </w:r>
          </w:p>
        </w:tc>
      </w:tr>
      <w:tr>
        <w:trPr>
          <w:trHeight w:val="216"/>
        </w:trPr>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Related party receivable</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(1,000,000)</w:t>
            </w:r>
          </w:p>
        </w:tc>
      </w:tr>
      <w:tr>
        <w:trPr>
          <w:trHeight w:val="216"/>
        </w:trPr>
        <w:tc>
          <w:tcPr>
            <w:tcW w:w="7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Related party payable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(975,690)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204,507</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111,171</w:t>
            </w:r>
          </w:p>
        </w:tc>
      </w:tr>
      <w:tr>
        <w:trPr>
          <w:trHeight w:val="209"/>
        </w:trPr>
        <w:tc>
          <w:tcPr>
            <w:tcW w:w="70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 continuing operations</w:t>
            </w:r>
          </w:p>
        </w:tc>
        <w:tc>
          <w:tcPr>
            <w:tcW w:w="1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(3,837,118)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(3,098,171)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 discontinued operations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(2,790,124)</w:t>
            </w:r>
          </w:p>
        </w:tc>
      </w:tr>
      <w:tr>
        <w:trPr>
          <w:trHeight w:val="210"/>
        </w:trPr>
        <w:tc>
          <w:tcPr>
            <w:tcW w:w="7040" w:type="dxa"/>
            <w:vAlign w:val="bottom"/>
            <w:tcBorders>
              <w:top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(3,837,118)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(5,888,295)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 - discontinued operations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(112,608)</w:t>
            </w:r>
          </w:p>
        </w:tc>
      </w:tr>
      <w:tr>
        <w:trPr>
          <w:trHeight w:val="210"/>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(112,608)</w:t>
            </w:r>
          </w:p>
        </w:tc>
        <w:tc>
          <w:tcPr>
            <w:tcW w:w="100" w:type="dxa"/>
            <w:vAlign w:val="bottom"/>
            <w:tcBorders>
              <w:bottom w:val="single" w:sz="8" w:color="CCEEFF"/>
            </w:tcBorders>
          </w:tcPr>
          <w:p>
            <w:pPr>
              <w:spacing w:after="0"/>
              <w:rPr>
                <w:sz w:val="18"/>
                <w:szCs w:val="18"/>
                <w:color w:val="auto"/>
              </w:rPr>
            </w:pPr>
          </w:p>
        </w:tc>
      </w:tr>
      <w:tr>
        <w:trPr>
          <w:trHeight w:val="209"/>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net</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619,974</w:t>
            </w:r>
          </w:p>
        </w:tc>
      </w:tr>
      <w:tr>
        <w:trPr>
          <w:trHeight w:val="216"/>
        </w:trPr>
        <w:tc>
          <w:tcPr>
            <w:tcW w:w="70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options exercise</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49,096</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0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49,096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619,974</w:t>
            </w:r>
          </w:p>
        </w:tc>
        <w:tc>
          <w:tcPr>
            <w:tcW w:w="100" w:type="dxa"/>
            <w:vAlign w:val="bottom"/>
            <w:tcBorders>
              <w:bottom w:val="single" w:sz="8" w:color="CCEEFF"/>
            </w:tcBorders>
          </w:tcPr>
          <w:p>
            <w:pPr>
              <w:spacing w:after="0"/>
              <w:rPr>
                <w:sz w:val="18"/>
                <w:szCs w:val="18"/>
                <w:color w:val="auto"/>
              </w:rPr>
            </w:pPr>
          </w:p>
        </w:tc>
      </w:tr>
      <w:tr>
        <w:trPr>
          <w:trHeight w:val="210"/>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(3,788,022)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(5,380,929)</w:t>
            </w:r>
          </w:p>
        </w:tc>
        <w:tc>
          <w:tcPr>
            <w:tcW w:w="100" w:type="dxa"/>
            <w:vAlign w:val="bottom"/>
            <w:shd w:val="clear" w:color="auto" w:fill="CCEEFF"/>
          </w:tcPr>
          <w:p>
            <w:pPr>
              <w:spacing w:after="0"/>
              <w:rPr>
                <w:sz w:val="18"/>
                <w:szCs w:val="18"/>
                <w:color w:val="auto"/>
              </w:rPr>
            </w:pPr>
          </w:p>
        </w:tc>
      </w:tr>
      <w:tr>
        <w:trPr>
          <w:trHeight w:val="216"/>
        </w:trPr>
        <w:tc>
          <w:tcPr>
            <w:tcW w:w="70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the period</w:t>
            </w:r>
          </w:p>
        </w:tc>
        <w:tc>
          <w:tcPr>
            <w:tcW w:w="1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15,111,450</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11,782,172</w:t>
            </w:r>
          </w:p>
        </w:tc>
      </w:tr>
      <w:tr>
        <w:trPr>
          <w:trHeight w:val="210"/>
        </w:trPr>
        <w:tc>
          <w:tcPr>
            <w:tcW w:w="70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end of the period</w:t>
            </w:r>
          </w:p>
        </w:tc>
        <w:tc>
          <w:tcPr>
            <w:tcW w:w="14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11,323,428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6,401,243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0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TIBEREND STRATEGIC ADVISORS,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Daniel Kontoh-Boateng</w:t>
      </w:r>
    </w:p>
    <w:p>
      <w:pPr>
        <w:spacing w:after="0" w:line="9" w:lineRule="exact"/>
        <w:rPr>
          <w:sz w:val="20"/>
          <w:szCs w:val="20"/>
          <w:color w:val="auto"/>
        </w:rPr>
      </w:pPr>
    </w:p>
    <w:p>
      <w:pPr>
        <w:ind w:left="440" w:hanging="432"/>
        <w:spacing w:after="0"/>
        <w:tabs>
          <w:tab w:leader="none" w:pos="4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213-1398</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DBOATENG@TIBEREND.COM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86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2024-05-15T16:27:06Z</dcterms:created>
  <dcterms:modified xsi:type="dcterms:W3CDTF">2024-05-15T16:27:06Z</dcterms:modified>
</cp:coreProperties>
</file>