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57055L206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Stephanie Brecher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1954 Greenspring Drive, Suite 600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Timonium, MD, 21093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(410)842-4000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New Enterprise Associates 16,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1,625,678.00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NEA Partners 16,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1,625,678.00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NEA 16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1,625,678.00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12.6 %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Forest Baskett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1,625,678.00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Ali Behbahani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1,625,678.00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Carmen Chang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1,625,678.00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Anthony A. Florence,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1,625,678.00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1,625,678.00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1,625,678.00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12.6 %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Mohamad H. Makhzoumi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1,625,678.00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12.6 %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Scott D. Sandell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1,625,678.00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Paul Walker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49" w:orient="portrait"/>
          <w:cols w:equalWidth="0" w:num="1">
            <w:col w:w="11160"/>
          </w:cols>
          <w:pgMar w:left="360" w:top="189" w:right="37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1,625,678.00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1,625,678.00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49" w:orient="portrait"/>
          <w:cols w:equalWidth="0" w:num="2">
            <w:col w:w="1060" w:space="60"/>
            <w:col w:w="10040"/>
          </w:cols>
          <w:pgMar w:left="360" w:top="189"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Marker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2450 Holcombe Blvd., TMC Partners Office 1.311, Houston, TEXAS , 77021.</w:t>
      </w:r>
    </w:p>
    <w:p>
      <w:pPr>
        <w:spacing w:after="0" w:line="20"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("Amendment No. 4") to Schedule 13D amends and supplements the statement on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originally filed on October 25, 2018 (the "Schedule 13D"), Amendment No. 1 thereto filed on March 26, 2021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1"), Amendment No. 2 thereto filed on May 17, 2024 ("Amendment No. 2") and Amendment No.</w:t>
      </w:r>
    </w:p>
    <w:p>
      <w:pPr>
        <w:sectPr>
          <w:pgSz w:w="11900" w:h="16949" w:orient="portrait"/>
          <w:cols w:equalWidth="0" w:num="1">
            <w:col w:w="11160"/>
          </w:cols>
          <w:pgMar w:left="360" w:top="189" w:right="379" w:bottom="0" w:gutter="0" w:footer="0" w:header="0"/>
          <w:type w:val="continuous"/>
        </w:sectPr>
      </w:pPr>
    </w:p>
    <w:bookmarkStart w:id="9" w:name="page10"/>
    <w:bookmarkEnd w:id="9"/>
    <w:p>
      <w:pPr>
        <w:spacing w:after="0" w:line="35" w:lineRule="exact"/>
        <w:rPr>
          <w:sz w:val="20"/>
          <w:szCs w:val="20"/>
          <w:color w:val="auto"/>
        </w:rPr>
      </w:pPr>
    </w:p>
    <w:p>
      <w:pPr>
        <w:jc w:val="both"/>
        <w:ind w:left="960"/>
        <w:spacing w:after="0" w:line="235" w:lineRule="auto"/>
        <w:rPr>
          <w:sz w:val="20"/>
          <w:szCs w:val="20"/>
          <w:color w:val="auto"/>
        </w:rPr>
      </w:pPr>
      <w:r>
        <w:rPr>
          <w:rFonts w:ascii="Times New Roman" w:cs="Times New Roman" w:eastAsia="Times New Roman" w:hAnsi="Times New Roman"/>
          <w:sz w:val="22"/>
          <w:szCs w:val="22"/>
          <w:color w:val="auto"/>
        </w:rPr>
        <w:t>3 thereto filed on December 23, 2024 ("Amendment No. 3"), relating to the Common Stock of the Issuer. Certain terms used but not defined in this Amendment No. 4 have the meanings assigned thereto in the Schedule 13D (and Amendment No. 1, Amendment No. 2 and Amendment No. 3 thereto). Except as specifically provided herein, this Amendment No. 4 does not modify any of the information previously reported on the Schedule 13D (and Amendment No. 1, Amendment No. 2 and Amendment No. 3 thereto). This Amendment No. 4 is being filed to report that the beneficial ownership of Common Stock by the Reporting Persons (as defined below) has decreased by more than 1% as a result of an increase in the number of Common Stock outstanding.</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20"/>
        <w:spacing w:after="0" w:line="249" w:lineRule="auto"/>
        <w:rPr>
          <w:sz w:val="20"/>
          <w:szCs w:val="20"/>
          <w:color w:val="auto"/>
        </w:rPr>
      </w:pPr>
      <w:r>
        <w:rPr>
          <w:rFonts w:ascii="Times New Roman" w:cs="Times New Roman" w:eastAsia="Times New Roman" w:hAnsi="Times New Roman"/>
          <w:sz w:val="21"/>
          <w:szCs w:val="21"/>
          <w:color w:val="auto"/>
        </w:rPr>
        <w:t>New Enterprise Associates 16, L.P. ("NEA 16"); NEA Partners 16, L.P. ("NEA Partners 16"), which is the sole general partner of NEA 16; and NEA 16 GP, LLC ("NEA 16 LLC" and, together with NEA Partners 16, the "Control Entities"), which is the sole general partner of NEA Partners 16; and Forest Baskett ("Baskett"), Ali Behbahani</w:t>
      </w:r>
    </w:p>
    <w:p>
      <w:pPr>
        <w:spacing w:after="0" w:line="1" w:lineRule="exact"/>
        <w:rPr>
          <w:sz w:val="20"/>
          <w:szCs w:val="20"/>
          <w:color w:val="auto"/>
        </w:rPr>
      </w:pPr>
    </w:p>
    <w:p>
      <w:pPr>
        <w:ind w:left="920" w:right="16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("Behbahani"), Carmen Chang ("Chang"), Anthony A. Florence, Jr. ("Florence"), Mohamad H. Makhzoumi ("Makhzoumi"), Scott D. Sandell ("Sandell") and Paul Walker ("Walker") (together, the "Managers"). The Managers are the managers of NEA 16 LLC. The persons named in this Item 2 are referred to individually herein as a "Reporting Person" and collectively as the "Reporting Persons."</w:t>
      </w:r>
    </w:p>
    <w:p>
      <w:pPr>
        <w:spacing w:after="0" w:line="15" w:lineRule="exact"/>
        <w:rPr>
          <w:rFonts w:ascii="Times New Roman" w:cs="Times New Roman" w:eastAsia="Times New Roman" w:hAnsi="Times New Roman"/>
          <w:sz w:val="22"/>
          <w:szCs w:val="22"/>
          <w:color w:val="auto"/>
        </w:rPr>
      </w:pPr>
    </w:p>
    <w:p>
      <w:pPr>
        <w:ind w:left="920" w:right="26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address of the principal business office of NEA 16, each Control Entity and Sandell is New Enterprise Associates, 1954 Greenspring Drive, Suite 600, Timonium, MD 21093. The address of the principal business office</w:t>
      </w:r>
    </w:p>
    <w:p>
      <w:pPr>
        <w:ind w:left="920" w:right="280" w:hanging="912"/>
        <w:spacing w:after="0" w:line="235"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Baskett, Behbahani, Chang, Makhzoumi and Walker is New Enterprise Associates, 2855 Sand Hill Road, Menlo Park, CA 94025. The address of the principal business office of Florence is New Enterprise Associates, 104 5th Avenue, 19th Floor, New York, NY 10011.</w:t>
      </w:r>
    </w:p>
    <w:p>
      <w:pPr>
        <w:spacing w:after="0" w:line="15" w:lineRule="exact"/>
        <w:rPr>
          <w:rFonts w:ascii="Times New Roman" w:cs="Times New Roman" w:eastAsia="Times New Roman" w:hAnsi="Times New Roman"/>
          <w:sz w:val="22"/>
          <w:szCs w:val="22"/>
          <w:color w:val="auto"/>
        </w:rPr>
      </w:pPr>
    </w:p>
    <w:p>
      <w:pPr>
        <w:ind w:left="920" w:right="56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principal business of NEA 16 is to invest in and assist growth-oriented businesses located principally in the United States. The principal business of NEA Partners 16 is to act as the sole general partner of NEA 16. The</w:t>
      </w:r>
    </w:p>
    <w:p>
      <w:pPr>
        <w:jc w:val="both"/>
        <w:ind w:left="920" w:right="140" w:hanging="912"/>
        <w:spacing w:after="0" w:line="235"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business of NEA 16 LLC is to act as the sole general partner of NEA Partners 16. The principal business of each of the Managers is to manage the Control Entities, NEA 16 and a number of affiliated partnerships with similar businesses.</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five years prior to the date hereof, none of the Reporting Persons has been convicted in a criminal</w:t>
      </w:r>
    </w:p>
    <w:p>
      <w:pPr>
        <w:spacing w:after="0" w:line="14" w:lineRule="exact"/>
        <w:rPr>
          <w:rFonts w:ascii="Times New Roman" w:cs="Times New Roman" w:eastAsia="Times New Roman" w:hAnsi="Times New Roman"/>
          <w:sz w:val="22"/>
          <w:szCs w:val="22"/>
          <w:color w:val="auto"/>
        </w:rPr>
      </w:pPr>
    </w:p>
    <w:p>
      <w:pPr>
        <w:ind w:left="920" w:right="120" w:hanging="912"/>
        <w:spacing w:after="0" w:line="184"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During the five years prior to the date hereof, none of the Reporting Persons has been convicted in a criminal</w:t>
      </w:r>
    </w:p>
    <w:p>
      <w:pPr>
        <w:spacing w:after="0" w:line="14" w:lineRule="exact"/>
        <w:rPr>
          <w:rFonts w:ascii="Times New Roman" w:cs="Times New Roman" w:eastAsia="Times New Roman" w:hAnsi="Times New Roman"/>
          <w:sz w:val="42"/>
          <w:szCs w:val="42"/>
          <w:color w:val="auto"/>
          <w:vertAlign w:val="subscript"/>
        </w:rPr>
      </w:pPr>
    </w:p>
    <w:p>
      <w:pPr>
        <w:ind w:left="920" w:right="120" w:hanging="912"/>
        <w:spacing w:after="0" w:line="184"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NEA 16 LLC is a limited liability company organized under the laws of the State of Delaware. NEA 16 and NEA</w:t>
      </w:r>
    </w:p>
    <w:p>
      <w:pPr>
        <w:spacing w:after="0" w:line="14" w:lineRule="exact"/>
        <w:rPr>
          <w:rFonts w:ascii="Times New Roman" w:cs="Times New Roman" w:eastAsia="Times New Roman" w:hAnsi="Times New Roman"/>
          <w:sz w:val="42"/>
          <w:szCs w:val="42"/>
          <w:color w:val="auto"/>
          <w:vertAlign w:val="subscript"/>
        </w:rPr>
      </w:pPr>
    </w:p>
    <w:p>
      <w:pPr>
        <w:ind w:left="920" w:right="440" w:hanging="912"/>
        <w:spacing w:after="0" w:line="237"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 16 are limited partnerships organized under the laws of the State of Delaware. Each of the Managers is a United States citizen.</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32" w:lineRule="auto"/>
        <w:rPr>
          <w:sz w:val="20"/>
          <w:szCs w:val="20"/>
          <w:color w:val="auto"/>
        </w:rPr>
      </w:pPr>
      <w:r>
        <w:rPr>
          <w:rFonts w:ascii="Times New Roman" w:cs="Times New Roman" w:eastAsia="Times New Roman" w:hAnsi="Times New Roman"/>
          <w:sz w:val="22"/>
          <w:szCs w:val="22"/>
          <w:color w:val="auto"/>
        </w:rPr>
        <w:t>NEA 16 acquired the NEA 16 Shares for investment purposes. Depending on market conditions, its continuing evaluation of the business and prospects of the Issuer and other factors, NEA 16 and the other Reporting Persons may dispose of or acquire additional shares of the Issuer, including shares that may be acquired upon exercise of the Warrants prior to expiration. Except as set forth above, none of the Reporting Persons has any present plans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change in the present board of directors or management of 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(g) Changes in the Issuer's charter, bylaws or instruments corresponding thereto or other actions which may impede the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Securities Exchange Act of 1934; or (j) Any action similar to any of those enumerated above.</w:t>
      </w:r>
    </w:p>
    <w:p>
      <w:pPr>
        <w:spacing w:after="0" w:line="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20"/>
        <w:spacing w:after="0" w:line="247" w:lineRule="auto"/>
        <w:rPr>
          <w:sz w:val="20"/>
          <w:szCs w:val="20"/>
          <w:color w:val="auto"/>
        </w:rPr>
      </w:pPr>
      <w:r>
        <w:rPr>
          <w:rFonts w:ascii="Times New Roman" w:cs="Times New Roman" w:eastAsia="Times New Roman" w:hAnsi="Times New Roman"/>
          <w:sz w:val="21"/>
          <w:szCs w:val="21"/>
          <w:color w:val="auto"/>
        </w:rPr>
        <w:t>NEA 16 is the record owner of the NEA 16 Shares. As the general partner of NEA 16, NEA Partners 16 may be deemed to own beneficially the NEA 16 Shares. As the sole general partner of NEA Partners 16, NEA 16 LLC may be deemed to own beneficially the NEA 16 Shares. As members of NEA 16 LLC, each of the Managers may be deemed to own beneficially the NEA 16 Shares. Each Reporting Person disclaims beneficial ownership of the NEA</w:t>
      </w:r>
    </w:p>
    <w:p>
      <w:pPr>
        <w:spacing w:after="0" w:line="2" w:lineRule="exact"/>
        <w:rPr>
          <w:sz w:val="20"/>
          <w:szCs w:val="20"/>
          <w:color w:val="auto"/>
        </w:rPr>
      </w:pPr>
    </w:p>
    <w:p>
      <w:pPr>
        <w:ind w:left="920" w:right="80" w:hanging="912"/>
        <w:spacing w:after="0" w:line="233"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 Shares other than those shares which such person owns of record. The percentage of outstanding Common Stock of the Issuer which may be deemed to be beneficially owned by each Reporting Person is set forth on Line 13 of such Reporting Person's cover sheet. Such percentage was calculated based on 12,938,910 shares of Common Stock reported by the Issuer to be outstanding as of August 4, 2025 on the Issuer's Form 10-Q filed with the Securities and Exchange Commission on August 14, 2025.</w:t>
      </w:r>
    </w:p>
    <w:p>
      <w:pPr>
        <w:sectPr>
          <w:pgSz w:w="11900" w:h="16874" w:orient="portrait"/>
          <w:cols w:equalWidth="0" w:num="1">
            <w:col w:w="11160"/>
          </w:cols>
          <w:pgMar w:left="360" w:top="111" w:right="379" w:bottom="0" w:gutter="0" w:footer="0" w:header="0"/>
        </w:sectPr>
      </w:pPr>
    </w:p>
    <w:bookmarkStart w:id="10" w:name="page11"/>
    <w:bookmarkEnd w:id="10"/>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Regarding the number of shares as to which such person has: (i) sole power to vote or to direct the vote: See line 7 of</w:t>
      </w:r>
    </w:p>
    <w:p>
      <w:pPr>
        <w:spacing w:after="0" w:line="26"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cover sheets (ii) shared power to vote or to direct the vote: See line 8 of cover sheets (iii) sole power to dispose or to</w:t>
      </w:r>
    </w:p>
    <w:p>
      <w:pPr>
        <w:spacing w:after="0" w:line="1" w:lineRule="exact"/>
        <w:rPr>
          <w:rFonts w:ascii="Times New Roman" w:cs="Times New Roman" w:eastAsia="Times New Roman" w:hAnsi="Times New Roman"/>
          <w:sz w:val="21"/>
          <w:szCs w:val="21"/>
          <w:color w:val="auto"/>
        </w:rPr>
      </w:pPr>
    </w:p>
    <w:p>
      <w:pPr>
        <w:ind w:left="920" w:right="18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direct the disposition: See line 9 of cover sheets (iv) shared power to dispose or to direct the disposition: See line 10 of cover sheets</w:t>
      </w:r>
    </w:p>
    <w:p>
      <w:pPr>
        <w:spacing w:after="0" w:line="16"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have effected any transaction in the last 60 days.</w:t>
      </w:r>
    </w:p>
    <w:p>
      <w:pPr>
        <w:spacing w:after="0" w:line="44" w:lineRule="exact"/>
        <w:rPr>
          <w:rFonts w:ascii="Times New Roman" w:cs="Times New Roman" w:eastAsia="Times New Roman" w:hAnsi="Times New Roman"/>
          <w:sz w:val="22"/>
          <w:szCs w:val="22"/>
          <w:color w:val="auto"/>
        </w:rPr>
      </w:pPr>
    </w:p>
    <w:p>
      <w:pPr>
        <w:ind w:left="920" w:right="4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any proceeds from the sale of, Common Stock beneficially owned by any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660" w:hanging="917"/>
        <w:spacing w:after="0" w:line="281"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Not applicable.</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80"/>
        <w:spacing w:after="0" w:line="258" w:lineRule="auto"/>
        <w:rPr>
          <w:sz w:val="20"/>
          <w:szCs w:val="20"/>
          <w:color w:val="auto"/>
        </w:rPr>
      </w:pPr>
      <w:r>
        <w:rPr>
          <w:rFonts w:ascii="Times New Roman" w:cs="Times New Roman" w:eastAsia="Times New Roman" w:hAnsi="Times New Roman"/>
          <w:sz w:val="22"/>
          <w:szCs w:val="22"/>
          <w:color w:val="auto"/>
        </w:rPr>
        <w:t>Exhibit 1 - Agreement regarding filing of joint Schedule 13D. Exhibit 2 - Power of Attorney regarding filings under the Securities Exchange Act of 1934 as amended.</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New Enterprise Associates 16,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Zachary Bambach as attorney-in-fact for Anthony</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 Florence, Jr., Managing Partner and Co-Chief</w:t>
      </w:r>
    </w:p>
    <w:p>
      <w:pPr>
        <w:ind w:left="674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08/18/2025</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Zachary Bambach as attorney-in-fact for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Mohamad H. Makhzoumi, Managing Partner and</w:t>
      </w:r>
    </w:p>
    <w:p>
      <w:pPr>
        <w:ind w:left="6740"/>
        <w:spacing w:after="0"/>
        <w:rPr>
          <w:sz w:val="20"/>
          <w:szCs w:val="20"/>
          <w:color w:val="auto"/>
        </w:rPr>
      </w:pPr>
      <w:r>
        <w:rPr>
          <w:rFonts w:ascii="Times New Roman" w:cs="Times New Roman" w:eastAsia="Times New Roman" w:hAnsi="Times New Roman"/>
          <w:sz w:val="22"/>
          <w:szCs w:val="22"/>
          <w:color w:val="auto"/>
        </w:rPr>
        <w:t>Co-Chief Executive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08/18/2025</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NEA Partners 16,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Zachary Bambach as attorney-in-fact for Anthony</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 Florence, Jr., Managing Partner and Co-Chief</w:t>
      </w:r>
    </w:p>
    <w:p>
      <w:pPr>
        <w:ind w:left="674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08/18/2025</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Zachary Bambach as attorney-in-fact for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Mohamad H. Makhzoumi, Managing Partner and</w:t>
      </w:r>
    </w:p>
    <w:p>
      <w:pPr>
        <w:ind w:left="6740"/>
        <w:spacing w:after="0"/>
        <w:rPr>
          <w:sz w:val="20"/>
          <w:szCs w:val="20"/>
          <w:color w:val="auto"/>
        </w:rPr>
      </w:pPr>
      <w:r>
        <w:rPr>
          <w:rFonts w:ascii="Times New Roman" w:cs="Times New Roman" w:eastAsia="Times New Roman" w:hAnsi="Times New Roman"/>
          <w:sz w:val="22"/>
          <w:szCs w:val="22"/>
          <w:color w:val="auto"/>
        </w:rPr>
        <w:t>Co-Chief Executive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08/18/2025</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NEA 16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Zachary Bambach as attorney-in-fact for Anthony</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 Florence, Jr., Managing Partner and Co-Chief</w:t>
      </w:r>
    </w:p>
    <w:p>
      <w:pPr>
        <w:ind w:left="674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08/18/2025</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Zachary Bambach as attorney-in-fact for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Mohamad H. Makhzoumi, Managing Partner and</w:t>
      </w:r>
    </w:p>
    <w:p>
      <w:pPr>
        <w:ind w:left="6740"/>
        <w:spacing w:after="0"/>
        <w:rPr>
          <w:sz w:val="20"/>
          <w:szCs w:val="20"/>
          <w:color w:val="auto"/>
        </w:rPr>
      </w:pPr>
      <w:r>
        <w:rPr>
          <w:rFonts w:ascii="Times New Roman" w:cs="Times New Roman" w:eastAsia="Times New Roman" w:hAnsi="Times New Roman"/>
          <w:sz w:val="22"/>
          <w:szCs w:val="22"/>
          <w:color w:val="auto"/>
        </w:rPr>
        <w:t>Co-Chief Executive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08/18/2025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Forest Baskett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4"/>
          <w:szCs w:val="34"/>
          <w:color w:val="auto"/>
          <w:vertAlign w:val="subscript"/>
        </w:rPr>
        <w:t>Name/Title:</w:t>
      </w:r>
      <w:r>
        <w:rPr>
          <w:rFonts w:ascii="Times New Roman" w:cs="Times New Roman" w:eastAsia="Times New Roman" w:hAnsi="Times New Roman"/>
          <w:sz w:val="18"/>
          <w:szCs w:val="18"/>
          <w:color w:val="auto"/>
        </w:rPr>
        <w:t xml:space="preserve"> Zachary</w:t>
      </w:r>
      <w:r>
        <w:rPr>
          <w:rFonts w:ascii="Times New Roman" w:cs="Times New Roman" w:eastAsia="Times New Roman" w:hAnsi="Times New Roman"/>
          <w:sz w:val="34"/>
          <w:szCs w:val="34"/>
          <w:color w:val="auto"/>
          <w:vertAlign w:val="subscript"/>
        </w:rPr>
        <w:t>Baskett</w:t>
      </w:r>
      <w:r>
        <w:rPr>
          <w:rFonts w:ascii="Times New Roman" w:cs="Times New Roman" w:eastAsia="Times New Roman" w:hAnsi="Times New Roman"/>
          <w:sz w:val="18"/>
          <w:szCs w:val="18"/>
          <w:color w:val="auto"/>
        </w:rPr>
        <w:t xml:space="preserve"> Bambach as attorney-in-fact for Forest</w:t>
      </w:r>
    </w:p>
    <w:p>
      <w:pPr>
        <w:sectPr>
          <w:pgSz w:w="11900" w:h="16838" w:orient="portrait"/>
          <w:cols w:equalWidth="0" w:num="1">
            <w:col w:w="11140"/>
          </w:cols>
          <w:pgMar w:left="360" w:top="112" w:right="399" w:bottom="0" w:gutter="0" w:footer="0" w:header="0"/>
        </w:sectPr>
      </w:pPr>
    </w:p>
    <w:bookmarkStart w:id="11" w:name="page12"/>
    <w:bookmarkEnd w:id="11"/>
    <w:tbl>
      <w:tblPr>
        <w:tblLayout w:type="fixed"/>
        <w:tblInd w:w="1260" w:type="dxa"/>
        <w:tblCellMar>
          <w:top w:w="0" w:type="dxa"/>
          <w:left w:w="0" w:type="dxa"/>
          <w:bottom w:w="0" w:type="dxa"/>
          <w:right w:w="0" w:type="dxa"/>
        </w:tblCellMar>
      </w:tblPr>
      <w:tr>
        <w:trPr>
          <w:trHeight w:val="283"/>
        </w:trPr>
        <w:tc>
          <w:tcPr>
            <w:tcW w:w="5460" w:type="dxa"/>
            <w:vAlign w:val="bottom"/>
          </w:tcPr>
          <w:p>
            <w:pPr>
              <w:ind w:left="4400"/>
              <w:spacing w:after="0"/>
              <w:rPr>
                <w:sz w:val="20"/>
                <w:szCs w:val="20"/>
                <w:color w:val="auto"/>
              </w:rPr>
            </w:pPr>
            <w:r>
              <w:rPr>
                <w:rFonts w:ascii="Times New Roman" w:cs="Times New Roman" w:eastAsia="Times New Roman" w:hAnsi="Times New Roman"/>
                <w:sz w:val="22"/>
                <w:szCs w:val="22"/>
                <w:color w:val="auto"/>
              </w:rPr>
              <w:t>Date: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08/18/2025</w:t>
            </w:r>
          </w:p>
        </w:tc>
        <w:tc>
          <w:tcPr>
            <w:tcW w:w="0" w:type="dxa"/>
            <w:vAlign w:val="bottom"/>
          </w:tcPr>
          <w:p>
            <w:pPr>
              <w:spacing w:after="0"/>
              <w:rPr>
                <w:sz w:val="1"/>
                <w:szCs w:val="1"/>
                <w:color w:val="auto"/>
              </w:rPr>
            </w:pPr>
          </w:p>
        </w:tc>
      </w:tr>
      <w:tr>
        <w:trPr>
          <w:trHeight w:val="405"/>
        </w:trPr>
        <w:tc>
          <w:tcPr>
            <w:tcW w:w="54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Ali Behbahani</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460" w:type="dxa"/>
            <w:vAlign w:val="bottom"/>
          </w:tcPr>
          <w:p>
            <w:pPr>
              <w:ind w:left="4400"/>
              <w:spacing w:after="0"/>
              <w:rPr>
                <w:sz w:val="20"/>
                <w:szCs w:val="20"/>
                <w:color w:val="auto"/>
              </w:rPr>
            </w:pPr>
            <w:r>
              <w:rPr>
                <w:rFonts w:ascii="Times New Roman" w:cs="Times New Roman" w:eastAsia="Times New Roman" w:hAnsi="Times New Roman"/>
                <w:sz w:val="22"/>
                <w:szCs w:val="22"/>
                <w:color w:val="auto"/>
              </w:rPr>
              <w:t>Signature: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Zachary Bambach</w:t>
            </w:r>
          </w:p>
        </w:tc>
        <w:tc>
          <w:tcPr>
            <w:tcW w:w="0" w:type="dxa"/>
            <w:vAlign w:val="bottom"/>
          </w:tcPr>
          <w:p>
            <w:pPr>
              <w:spacing w:after="0"/>
              <w:rPr>
                <w:sz w:val="1"/>
                <w:szCs w:val="1"/>
                <w:color w:val="auto"/>
              </w:rPr>
            </w:pPr>
          </w:p>
        </w:tc>
      </w:tr>
      <w:tr>
        <w:trPr>
          <w:trHeight w:val="258"/>
        </w:trPr>
        <w:tc>
          <w:tcPr>
            <w:tcW w:w="5460" w:type="dxa"/>
            <w:vAlign w:val="bottom"/>
            <w:vMerge w:val="restart"/>
          </w:tcPr>
          <w:p>
            <w:pPr>
              <w:ind w:left="4400"/>
              <w:spacing w:after="0"/>
              <w:rPr>
                <w:sz w:val="20"/>
                <w:szCs w:val="20"/>
                <w:color w:val="auto"/>
              </w:rPr>
            </w:pPr>
            <w:r>
              <w:rPr>
                <w:rFonts w:ascii="Times New Roman" w:cs="Times New Roman" w:eastAsia="Times New Roman" w:hAnsi="Times New Roman"/>
                <w:sz w:val="22"/>
                <w:szCs w:val="22"/>
                <w:color w:val="auto"/>
                <w:w w:val="97"/>
              </w:rPr>
              <w:t>Name/Title: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Zachary Bambach as attorney-in-fact for Ali</w:t>
            </w:r>
          </w:p>
        </w:tc>
        <w:tc>
          <w:tcPr>
            <w:tcW w:w="0" w:type="dxa"/>
            <w:vAlign w:val="bottom"/>
          </w:tcPr>
          <w:p>
            <w:pPr>
              <w:spacing w:after="0"/>
              <w:rPr>
                <w:sz w:val="1"/>
                <w:szCs w:val="1"/>
                <w:color w:val="auto"/>
              </w:rPr>
            </w:pPr>
          </w:p>
        </w:tc>
      </w:tr>
      <w:tr>
        <w:trPr>
          <w:trHeight w:val="282"/>
        </w:trPr>
        <w:tc>
          <w:tcPr>
            <w:tcW w:w="5460" w:type="dxa"/>
            <w:vAlign w:val="bottom"/>
            <w:vMerge w:val="continue"/>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Behbahani</w:t>
            </w:r>
          </w:p>
        </w:tc>
        <w:tc>
          <w:tcPr>
            <w:tcW w:w="0" w:type="dxa"/>
            <w:vAlign w:val="bottom"/>
          </w:tcPr>
          <w:p>
            <w:pPr>
              <w:spacing w:after="0"/>
              <w:rPr>
                <w:sz w:val="1"/>
                <w:szCs w:val="1"/>
                <w:color w:val="auto"/>
              </w:rPr>
            </w:pPr>
          </w:p>
        </w:tc>
      </w:tr>
      <w:tr>
        <w:trPr>
          <w:trHeight w:val="297"/>
        </w:trPr>
        <w:tc>
          <w:tcPr>
            <w:tcW w:w="5460" w:type="dxa"/>
            <w:vAlign w:val="bottom"/>
          </w:tcPr>
          <w:p>
            <w:pPr>
              <w:ind w:left="4400"/>
              <w:spacing w:after="0"/>
              <w:rPr>
                <w:sz w:val="20"/>
                <w:szCs w:val="20"/>
                <w:color w:val="auto"/>
              </w:rPr>
            </w:pPr>
            <w:r>
              <w:rPr>
                <w:rFonts w:ascii="Times New Roman" w:cs="Times New Roman" w:eastAsia="Times New Roman" w:hAnsi="Times New Roman"/>
                <w:sz w:val="22"/>
                <w:szCs w:val="22"/>
                <w:color w:val="auto"/>
              </w:rPr>
              <w:t>Date: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08/18/2025</w:t>
            </w:r>
          </w:p>
        </w:tc>
        <w:tc>
          <w:tcPr>
            <w:tcW w:w="0" w:type="dxa"/>
            <w:vAlign w:val="bottom"/>
          </w:tcPr>
          <w:p>
            <w:pPr>
              <w:spacing w:after="0"/>
              <w:rPr>
                <w:sz w:val="1"/>
                <w:szCs w:val="1"/>
                <w:color w:val="auto"/>
              </w:rPr>
            </w:pPr>
          </w:p>
        </w:tc>
      </w:tr>
      <w:tr>
        <w:trPr>
          <w:trHeight w:val="405"/>
        </w:trPr>
        <w:tc>
          <w:tcPr>
            <w:tcW w:w="54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Carmen Chang</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460" w:type="dxa"/>
            <w:vAlign w:val="bottom"/>
          </w:tcPr>
          <w:p>
            <w:pPr>
              <w:ind w:left="4400"/>
              <w:spacing w:after="0"/>
              <w:rPr>
                <w:sz w:val="20"/>
                <w:szCs w:val="20"/>
                <w:color w:val="auto"/>
              </w:rPr>
            </w:pPr>
            <w:r>
              <w:rPr>
                <w:rFonts w:ascii="Times New Roman" w:cs="Times New Roman" w:eastAsia="Times New Roman" w:hAnsi="Times New Roman"/>
                <w:sz w:val="22"/>
                <w:szCs w:val="22"/>
                <w:color w:val="auto"/>
              </w:rPr>
              <w:t>Signature: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Zachary Bambach</w:t>
            </w:r>
          </w:p>
        </w:tc>
        <w:tc>
          <w:tcPr>
            <w:tcW w:w="0" w:type="dxa"/>
            <w:vAlign w:val="bottom"/>
          </w:tcPr>
          <w:p>
            <w:pPr>
              <w:spacing w:after="0"/>
              <w:rPr>
                <w:sz w:val="1"/>
                <w:szCs w:val="1"/>
                <w:color w:val="auto"/>
              </w:rPr>
            </w:pPr>
          </w:p>
        </w:tc>
      </w:tr>
      <w:tr>
        <w:trPr>
          <w:trHeight w:val="258"/>
        </w:trPr>
        <w:tc>
          <w:tcPr>
            <w:tcW w:w="5460" w:type="dxa"/>
            <w:vAlign w:val="bottom"/>
            <w:vMerge w:val="restart"/>
          </w:tcPr>
          <w:p>
            <w:pPr>
              <w:ind w:left="4400"/>
              <w:spacing w:after="0"/>
              <w:rPr>
                <w:sz w:val="20"/>
                <w:szCs w:val="20"/>
                <w:color w:val="auto"/>
              </w:rPr>
            </w:pPr>
            <w:r>
              <w:rPr>
                <w:rFonts w:ascii="Times New Roman" w:cs="Times New Roman" w:eastAsia="Times New Roman" w:hAnsi="Times New Roman"/>
                <w:sz w:val="22"/>
                <w:szCs w:val="22"/>
                <w:color w:val="auto"/>
                <w:w w:val="97"/>
              </w:rPr>
              <w:t>Name/Title: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Zachary Bambach as attorney-in-fact for Carmen</w:t>
            </w:r>
          </w:p>
        </w:tc>
        <w:tc>
          <w:tcPr>
            <w:tcW w:w="0" w:type="dxa"/>
            <w:vAlign w:val="bottom"/>
          </w:tcPr>
          <w:p>
            <w:pPr>
              <w:spacing w:after="0"/>
              <w:rPr>
                <w:sz w:val="1"/>
                <w:szCs w:val="1"/>
                <w:color w:val="auto"/>
              </w:rPr>
            </w:pPr>
          </w:p>
        </w:tc>
      </w:tr>
      <w:tr>
        <w:trPr>
          <w:trHeight w:val="282"/>
        </w:trPr>
        <w:tc>
          <w:tcPr>
            <w:tcW w:w="5460" w:type="dxa"/>
            <w:vAlign w:val="bottom"/>
            <w:vMerge w:val="continue"/>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Chang</w:t>
            </w:r>
          </w:p>
        </w:tc>
        <w:tc>
          <w:tcPr>
            <w:tcW w:w="0" w:type="dxa"/>
            <w:vAlign w:val="bottom"/>
          </w:tcPr>
          <w:p>
            <w:pPr>
              <w:spacing w:after="0"/>
              <w:rPr>
                <w:sz w:val="1"/>
                <w:szCs w:val="1"/>
                <w:color w:val="auto"/>
              </w:rPr>
            </w:pPr>
          </w:p>
        </w:tc>
      </w:tr>
      <w:tr>
        <w:trPr>
          <w:trHeight w:val="297"/>
        </w:trPr>
        <w:tc>
          <w:tcPr>
            <w:tcW w:w="5460" w:type="dxa"/>
            <w:vAlign w:val="bottom"/>
          </w:tcPr>
          <w:p>
            <w:pPr>
              <w:ind w:left="4400"/>
              <w:spacing w:after="0"/>
              <w:rPr>
                <w:sz w:val="20"/>
                <w:szCs w:val="20"/>
                <w:color w:val="auto"/>
              </w:rPr>
            </w:pPr>
            <w:r>
              <w:rPr>
                <w:rFonts w:ascii="Times New Roman" w:cs="Times New Roman" w:eastAsia="Times New Roman" w:hAnsi="Times New Roman"/>
                <w:sz w:val="22"/>
                <w:szCs w:val="22"/>
                <w:color w:val="auto"/>
              </w:rPr>
              <w:t>Date: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08/18/2025</w:t>
            </w:r>
          </w:p>
        </w:tc>
        <w:tc>
          <w:tcPr>
            <w:tcW w:w="0" w:type="dxa"/>
            <w:vAlign w:val="bottom"/>
          </w:tcPr>
          <w:p>
            <w:pPr>
              <w:spacing w:after="0"/>
              <w:rPr>
                <w:sz w:val="1"/>
                <w:szCs w:val="1"/>
                <w:color w:val="auto"/>
              </w:rPr>
            </w:pPr>
          </w:p>
        </w:tc>
      </w:tr>
      <w:tr>
        <w:trPr>
          <w:trHeight w:val="405"/>
        </w:trPr>
        <w:tc>
          <w:tcPr>
            <w:tcW w:w="5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Anthony A. Florence, Jr.</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460" w:type="dxa"/>
            <w:vAlign w:val="bottom"/>
          </w:tcPr>
          <w:p>
            <w:pPr>
              <w:ind w:left="4400"/>
              <w:spacing w:after="0"/>
              <w:rPr>
                <w:sz w:val="20"/>
                <w:szCs w:val="20"/>
                <w:color w:val="auto"/>
              </w:rPr>
            </w:pPr>
            <w:r>
              <w:rPr>
                <w:rFonts w:ascii="Times New Roman" w:cs="Times New Roman" w:eastAsia="Times New Roman" w:hAnsi="Times New Roman"/>
                <w:sz w:val="22"/>
                <w:szCs w:val="22"/>
                <w:color w:val="auto"/>
              </w:rPr>
              <w:t>Signature: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Zachary Bambach</w:t>
            </w:r>
          </w:p>
        </w:tc>
        <w:tc>
          <w:tcPr>
            <w:tcW w:w="0" w:type="dxa"/>
            <w:vAlign w:val="bottom"/>
          </w:tcPr>
          <w:p>
            <w:pPr>
              <w:spacing w:after="0"/>
              <w:rPr>
                <w:sz w:val="1"/>
                <w:szCs w:val="1"/>
                <w:color w:val="auto"/>
              </w:rPr>
            </w:pPr>
          </w:p>
        </w:tc>
      </w:tr>
      <w:tr>
        <w:trPr>
          <w:trHeight w:val="258"/>
        </w:trPr>
        <w:tc>
          <w:tcPr>
            <w:tcW w:w="5460" w:type="dxa"/>
            <w:vAlign w:val="bottom"/>
            <w:vMerge w:val="restart"/>
          </w:tcPr>
          <w:p>
            <w:pPr>
              <w:ind w:left="4400"/>
              <w:spacing w:after="0"/>
              <w:rPr>
                <w:sz w:val="20"/>
                <w:szCs w:val="20"/>
                <w:color w:val="auto"/>
              </w:rPr>
            </w:pPr>
            <w:r>
              <w:rPr>
                <w:rFonts w:ascii="Times New Roman" w:cs="Times New Roman" w:eastAsia="Times New Roman" w:hAnsi="Times New Roman"/>
                <w:sz w:val="22"/>
                <w:szCs w:val="22"/>
                <w:color w:val="auto"/>
                <w:w w:val="97"/>
              </w:rPr>
              <w:t>Name/Title: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Zachary Bambach as attorney-in-fact for Anthony</w:t>
            </w:r>
          </w:p>
        </w:tc>
        <w:tc>
          <w:tcPr>
            <w:tcW w:w="0" w:type="dxa"/>
            <w:vAlign w:val="bottom"/>
          </w:tcPr>
          <w:p>
            <w:pPr>
              <w:spacing w:after="0"/>
              <w:rPr>
                <w:sz w:val="1"/>
                <w:szCs w:val="1"/>
                <w:color w:val="auto"/>
              </w:rPr>
            </w:pPr>
          </w:p>
        </w:tc>
      </w:tr>
      <w:tr>
        <w:trPr>
          <w:trHeight w:val="282"/>
        </w:trPr>
        <w:tc>
          <w:tcPr>
            <w:tcW w:w="5460" w:type="dxa"/>
            <w:vAlign w:val="bottom"/>
            <w:vMerge w:val="continue"/>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 Florence, Jr.</w:t>
            </w:r>
          </w:p>
        </w:tc>
        <w:tc>
          <w:tcPr>
            <w:tcW w:w="0" w:type="dxa"/>
            <w:vAlign w:val="bottom"/>
          </w:tcPr>
          <w:p>
            <w:pPr>
              <w:spacing w:after="0"/>
              <w:rPr>
                <w:sz w:val="1"/>
                <w:szCs w:val="1"/>
                <w:color w:val="auto"/>
              </w:rPr>
            </w:pPr>
          </w:p>
        </w:tc>
      </w:tr>
      <w:tr>
        <w:trPr>
          <w:trHeight w:val="297"/>
        </w:trPr>
        <w:tc>
          <w:tcPr>
            <w:tcW w:w="5460" w:type="dxa"/>
            <w:vAlign w:val="bottom"/>
          </w:tcPr>
          <w:p>
            <w:pPr>
              <w:ind w:left="4400"/>
              <w:spacing w:after="0"/>
              <w:rPr>
                <w:sz w:val="20"/>
                <w:szCs w:val="20"/>
                <w:color w:val="auto"/>
              </w:rPr>
            </w:pPr>
            <w:r>
              <w:rPr>
                <w:rFonts w:ascii="Times New Roman" w:cs="Times New Roman" w:eastAsia="Times New Roman" w:hAnsi="Times New Roman"/>
                <w:sz w:val="22"/>
                <w:szCs w:val="22"/>
                <w:color w:val="auto"/>
              </w:rPr>
              <w:t>Date: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08/18/2025</w:t>
            </w:r>
          </w:p>
        </w:tc>
        <w:tc>
          <w:tcPr>
            <w:tcW w:w="0" w:type="dxa"/>
            <w:vAlign w:val="bottom"/>
          </w:tcPr>
          <w:p>
            <w:pPr>
              <w:spacing w:after="0"/>
              <w:rPr>
                <w:sz w:val="1"/>
                <w:szCs w:val="1"/>
                <w:color w:val="auto"/>
              </w:rPr>
            </w:pPr>
          </w:p>
        </w:tc>
      </w:tr>
      <w:tr>
        <w:trPr>
          <w:trHeight w:val="405"/>
        </w:trPr>
        <w:tc>
          <w:tcPr>
            <w:tcW w:w="54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Mohamad H. Makhzoumi</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460" w:type="dxa"/>
            <w:vAlign w:val="bottom"/>
          </w:tcPr>
          <w:p>
            <w:pPr>
              <w:ind w:left="4400"/>
              <w:spacing w:after="0"/>
              <w:rPr>
                <w:sz w:val="20"/>
                <w:szCs w:val="20"/>
                <w:color w:val="auto"/>
              </w:rPr>
            </w:pPr>
            <w:r>
              <w:rPr>
                <w:rFonts w:ascii="Times New Roman" w:cs="Times New Roman" w:eastAsia="Times New Roman" w:hAnsi="Times New Roman"/>
                <w:sz w:val="22"/>
                <w:szCs w:val="22"/>
                <w:color w:val="auto"/>
              </w:rPr>
              <w:t>Signature: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Zachary Bambach</w:t>
            </w:r>
          </w:p>
        </w:tc>
        <w:tc>
          <w:tcPr>
            <w:tcW w:w="0" w:type="dxa"/>
            <w:vAlign w:val="bottom"/>
          </w:tcPr>
          <w:p>
            <w:pPr>
              <w:spacing w:after="0"/>
              <w:rPr>
                <w:sz w:val="1"/>
                <w:szCs w:val="1"/>
                <w:color w:val="auto"/>
              </w:rPr>
            </w:pPr>
          </w:p>
        </w:tc>
      </w:tr>
      <w:tr>
        <w:trPr>
          <w:trHeight w:val="258"/>
        </w:trPr>
        <w:tc>
          <w:tcPr>
            <w:tcW w:w="5460" w:type="dxa"/>
            <w:vAlign w:val="bottom"/>
            <w:vMerge w:val="restart"/>
          </w:tcPr>
          <w:p>
            <w:pPr>
              <w:ind w:left="4400"/>
              <w:spacing w:after="0"/>
              <w:rPr>
                <w:sz w:val="20"/>
                <w:szCs w:val="20"/>
                <w:color w:val="auto"/>
              </w:rPr>
            </w:pPr>
            <w:r>
              <w:rPr>
                <w:rFonts w:ascii="Times New Roman" w:cs="Times New Roman" w:eastAsia="Times New Roman" w:hAnsi="Times New Roman"/>
                <w:sz w:val="22"/>
                <w:szCs w:val="22"/>
                <w:color w:val="auto"/>
                <w:w w:val="97"/>
              </w:rPr>
              <w:t>Name/Title: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Zachary Bambach as attorney-in-fact for</w:t>
            </w:r>
          </w:p>
        </w:tc>
        <w:tc>
          <w:tcPr>
            <w:tcW w:w="0" w:type="dxa"/>
            <w:vAlign w:val="bottom"/>
          </w:tcPr>
          <w:p>
            <w:pPr>
              <w:spacing w:after="0"/>
              <w:rPr>
                <w:sz w:val="1"/>
                <w:szCs w:val="1"/>
                <w:color w:val="auto"/>
              </w:rPr>
            </w:pPr>
          </w:p>
        </w:tc>
      </w:tr>
      <w:tr>
        <w:trPr>
          <w:trHeight w:val="282"/>
        </w:trPr>
        <w:tc>
          <w:tcPr>
            <w:tcW w:w="5460" w:type="dxa"/>
            <w:vAlign w:val="bottom"/>
            <w:vMerge w:val="continue"/>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Mohamad H. Makhzoumi</w:t>
            </w:r>
          </w:p>
        </w:tc>
        <w:tc>
          <w:tcPr>
            <w:tcW w:w="0" w:type="dxa"/>
            <w:vAlign w:val="bottom"/>
          </w:tcPr>
          <w:p>
            <w:pPr>
              <w:spacing w:after="0"/>
              <w:rPr>
                <w:sz w:val="1"/>
                <w:szCs w:val="1"/>
                <w:color w:val="auto"/>
              </w:rPr>
            </w:pPr>
          </w:p>
        </w:tc>
      </w:tr>
      <w:tr>
        <w:trPr>
          <w:trHeight w:val="297"/>
        </w:trPr>
        <w:tc>
          <w:tcPr>
            <w:tcW w:w="5460" w:type="dxa"/>
            <w:vAlign w:val="bottom"/>
          </w:tcPr>
          <w:p>
            <w:pPr>
              <w:ind w:left="4400"/>
              <w:spacing w:after="0"/>
              <w:rPr>
                <w:sz w:val="20"/>
                <w:szCs w:val="20"/>
                <w:color w:val="auto"/>
              </w:rPr>
            </w:pPr>
            <w:r>
              <w:rPr>
                <w:rFonts w:ascii="Times New Roman" w:cs="Times New Roman" w:eastAsia="Times New Roman" w:hAnsi="Times New Roman"/>
                <w:sz w:val="22"/>
                <w:szCs w:val="22"/>
                <w:color w:val="auto"/>
              </w:rPr>
              <w:t>Date: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08/18/2025</w:t>
            </w:r>
          </w:p>
        </w:tc>
        <w:tc>
          <w:tcPr>
            <w:tcW w:w="0" w:type="dxa"/>
            <w:vAlign w:val="bottom"/>
          </w:tcPr>
          <w:p>
            <w:pPr>
              <w:spacing w:after="0"/>
              <w:rPr>
                <w:sz w:val="1"/>
                <w:szCs w:val="1"/>
                <w:color w:val="auto"/>
              </w:rPr>
            </w:pPr>
          </w:p>
        </w:tc>
      </w:tr>
      <w:tr>
        <w:trPr>
          <w:trHeight w:val="405"/>
        </w:trPr>
        <w:tc>
          <w:tcPr>
            <w:tcW w:w="54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Scott D. Sandell</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460" w:type="dxa"/>
            <w:vAlign w:val="bottom"/>
          </w:tcPr>
          <w:p>
            <w:pPr>
              <w:ind w:left="4400"/>
              <w:spacing w:after="0"/>
              <w:rPr>
                <w:sz w:val="20"/>
                <w:szCs w:val="20"/>
                <w:color w:val="auto"/>
              </w:rPr>
            </w:pPr>
            <w:r>
              <w:rPr>
                <w:rFonts w:ascii="Times New Roman" w:cs="Times New Roman" w:eastAsia="Times New Roman" w:hAnsi="Times New Roman"/>
                <w:sz w:val="22"/>
                <w:szCs w:val="22"/>
                <w:color w:val="auto"/>
              </w:rPr>
              <w:t>Signature: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Zachary Bambach</w:t>
            </w:r>
          </w:p>
        </w:tc>
        <w:tc>
          <w:tcPr>
            <w:tcW w:w="0" w:type="dxa"/>
            <w:vAlign w:val="bottom"/>
          </w:tcPr>
          <w:p>
            <w:pPr>
              <w:spacing w:after="0"/>
              <w:rPr>
                <w:sz w:val="1"/>
                <w:szCs w:val="1"/>
                <w:color w:val="auto"/>
              </w:rPr>
            </w:pPr>
          </w:p>
        </w:tc>
      </w:tr>
      <w:tr>
        <w:trPr>
          <w:trHeight w:val="258"/>
        </w:trPr>
        <w:tc>
          <w:tcPr>
            <w:tcW w:w="5460" w:type="dxa"/>
            <w:vAlign w:val="bottom"/>
            <w:vMerge w:val="restart"/>
          </w:tcPr>
          <w:p>
            <w:pPr>
              <w:ind w:left="4400"/>
              <w:spacing w:after="0"/>
              <w:rPr>
                <w:sz w:val="20"/>
                <w:szCs w:val="20"/>
                <w:color w:val="auto"/>
              </w:rPr>
            </w:pPr>
            <w:r>
              <w:rPr>
                <w:rFonts w:ascii="Times New Roman" w:cs="Times New Roman" w:eastAsia="Times New Roman" w:hAnsi="Times New Roman"/>
                <w:sz w:val="22"/>
                <w:szCs w:val="22"/>
                <w:color w:val="auto"/>
                <w:w w:val="97"/>
              </w:rPr>
              <w:t>Name/Title: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Zachary Bambach as attorney-in-fact for Scott D.</w:t>
            </w:r>
          </w:p>
        </w:tc>
        <w:tc>
          <w:tcPr>
            <w:tcW w:w="0" w:type="dxa"/>
            <w:vAlign w:val="bottom"/>
          </w:tcPr>
          <w:p>
            <w:pPr>
              <w:spacing w:after="0"/>
              <w:rPr>
                <w:sz w:val="1"/>
                <w:szCs w:val="1"/>
                <w:color w:val="auto"/>
              </w:rPr>
            </w:pPr>
          </w:p>
        </w:tc>
      </w:tr>
      <w:tr>
        <w:trPr>
          <w:trHeight w:val="282"/>
        </w:trPr>
        <w:tc>
          <w:tcPr>
            <w:tcW w:w="5460" w:type="dxa"/>
            <w:vAlign w:val="bottom"/>
            <w:vMerge w:val="continue"/>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Sandell</w:t>
            </w:r>
          </w:p>
        </w:tc>
        <w:tc>
          <w:tcPr>
            <w:tcW w:w="0" w:type="dxa"/>
            <w:vAlign w:val="bottom"/>
          </w:tcPr>
          <w:p>
            <w:pPr>
              <w:spacing w:after="0"/>
              <w:rPr>
                <w:sz w:val="1"/>
                <w:szCs w:val="1"/>
                <w:color w:val="auto"/>
              </w:rPr>
            </w:pPr>
          </w:p>
        </w:tc>
      </w:tr>
      <w:tr>
        <w:trPr>
          <w:trHeight w:val="297"/>
        </w:trPr>
        <w:tc>
          <w:tcPr>
            <w:tcW w:w="5460" w:type="dxa"/>
            <w:vAlign w:val="bottom"/>
          </w:tcPr>
          <w:p>
            <w:pPr>
              <w:ind w:left="4400"/>
              <w:spacing w:after="0"/>
              <w:rPr>
                <w:sz w:val="20"/>
                <w:szCs w:val="20"/>
                <w:color w:val="auto"/>
              </w:rPr>
            </w:pPr>
            <w:r>
              <w:rPr>
                <w:rFonts w:ascii="Times New Roman" w:cs="Times New Roman" w:eastAsia="Times New Roman" w:hAnsi="Times New Roman"/>
                <w:sz w:val="22"/>
                <w:szCs w:val="22"/>
                <w:color w:val="auto"/>
              </w:rPr>
              <w:t>Date: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08/18/2025</w:t>
            </w:r>
          </w:p>
        </w:tc>
        <w:tc>
          <w:tcPr>
            <w:tcW w:w="0" w:type="dxa"/>
            <w:vAlign w:val="bottom"/>
          </w:tcPr>
          <w:p>
            <w:pPr>
              <w:spacing w:after="0"/>
              <w:rPr>
                <w:sz w:val="1"/>
                <w:szCs w:val="1"/>
                <w:color w:val="auto"/>
              </w:rPr>
            </w:pPr>
          </w:p>
        </w:tc>
      </w:tr>
      <w:tr>
        <w:trPr>
          <w:trHeight w:val="405"/>
        </w:trPr>
        <w:tc>
          <w:tcPr>
            <w:tcW w:w="5460" w:type="dxa"/>
            <w:vAlign w:val="bottom"/>
          </w:tcPr>
          <w:p>
            <w:pPr>
              <w:spacing w:after="0"/>
              <w:rPr>
                <w:sz w:val="20"/>
                <w:szCs w:val="20"/>
                <w:color w:val="auto"/>
              </w:rPr>
            </w:pPr>
            <w:r>
              <w:rPr>
                <w:rFonts w:ascii="Times New Roman" w:cs="Times New Roman" w:eastAsia="Times New Roman" w:hAnsi="Times New Roman"/>
                <w:sz w:val="22"/>
                <w:szCs w:val="22"/>
                <w:color w:val="auto"/>
              </w:rPr>
              <w:t>Paul Walker</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460" w:type="dxa"/>
            <w:vAlign w:val="bottom"/>
          </w:tcPr>
          <w:p>
            <w:pPr>
              <w:ind w:left="4400"/>
              <w:spacing w:after="0"/>
              <w:rPr>
                <w:sz w:val="20"/>
                <w:szCs w:val="20"/>
                <w:color w:val="auto"/>
              </w:rPr>
            </w:pPr>
            <w:r>
              <w:rPr>
                <w:rFonts w:ascii="Times New Roman" w:cs="Times New Roman" w:eastAsia="Times New Roman" w:hAnsi="Times New Roman"/>
                <w:sz w:val="22"/>
                <w:szCs w:val="22"/>
                <w:color w:val="auto"/>
              </w:rPr>
              <w:t>Signature: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Zachary Bambach</w:t>
            </w:r>
          </w:p>
        </w:tc>
        <w:tc>
          <w:tcPr>
            <w:tcW w:w="0" w:type="dxa"/>
            <w:vAlign w:val="bottom"/>
          </w:tcPr>
          <w:p>
            <w:pPr>
              <w:spacing w:after="0"/>
              <w:rPr>
                <w:sz w:val="1"/>
                <w:szCs w:val="1"/>
                <w:color w:val="auto"/>
              </w:rPr>
            </w:pPr>
          </w:p>
        </w:tc>
      </w:tr>
      <w:tr>
        <w:trPr>
          <w:trHeight w:val="258"/>
        </w:trPr>
        <w:tc>
          <w:tcPr>
            <w:tcW w:w="5460" w:type="dxa"/>
            <w:vAlign w:val="bottom"/>
            <w:vMerge w:val="restart"/>
          </w:tcPr>
          <w:p>
            <w:pPr>
              <w:ind w:left="4400"/>
              <w:spacing w:after="0"/>
              <w:rPr>
                <w:sz w:val="20"/>
                <w:szCs w:val="20"/>
                <w:color w:val="auto"/>
              </w:rPr>
            </w:pPr>
            <w:r>
              <w:rPr>
                <w:rFonts w:ascii="Times New Roman" w:cs="Times New Roman" w:eastAsia="Times New Roman" w:hAnsi="Times New Roman"/>
                <w:sz w:val="22"/>
                <w:szCs w:val="22"/>
                <w:color w:val="auto"/>
                <w:w w:val="97"/>
              </w:rPr>
              <w:t>Name/Title: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Zachary Bambach as attorney-in-fact for Paul</w:t>
            </w:r>
          </w:p>
        </w:tc>
        <w:tc>
          <w:tcPr>
            <w:tcW w:w="0" w:type="dxa"/>
            <w:vAlign w:val="bottom"/>
          </w:tcPr>
          <w:p>
            <w:pPr>
              <w:spacing w:after="0"/>
              <w:rPr>
                <w:sz w:val="1"/>
                <w:szCs w:val="1"/>
                <w:color w:val="auto"/>
              </w:rPr>
            </w:pPr>
          </w:p>
        </w:tc>
      </w:tr>
      <w:tr>
        <w:trPr>
          <w:trHeight w:val="282"/>
        </w:trPr>
        <w:tc>
          <w:tcPr>
            <w:tcW w:w="5460" w:type="dxa"/>
            <w:vAlign w:val="bottom"/>
            <w:vMerge w:val="continue"/>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Walker</w:t>
            </w:r>
          </w:p>
        </w:tc>
        <w:tc>
          <w:tcPr>
            <w:tcW w:w="0" w:type="dxa"/>
            <w:vAlign w:val="bottom"/>
          </w:tcPr>
          <w:p>
            <w:pPr>
              <w:spacing w:after="0"/>
              <w:rPr>
                <w:sz w:val="1"/>
                <w:szCs w:val="1"/>
                <w:color w:val="auto"/>
              </w:rPr>
            </w:pPr>
          </w:p>
        </w:tc>
      </w:tr>
      <w:tr>
        <w:trPr>
          <w:trHeight w:val="297"/>
        </w:trPr>
        <w:tc>
          <w:tcPr>
            <w:tcW w:w="5460" w:type="dxa"/>
            <w:vAlign w:val="bottom"/>
          </w:tcPr>
          <w:p>
            <w:pPr>
              <w:ind w:left="4400"/>
              <w:spacing w:after="0"/>
              <w:rPr>
                <w:sz w:val="20"/>
                <w:szCs w:val="20"/>
                <w:color w:val="auto"/>
              </w:rPr>
            </w:pPr>
            <w:r>
              <w:rPr>
                <w:rFonts w:ascii="Times New Roman" w:cs="Times New Roman" w:eastAsia="Times New Roman" w:hAnsi="Times New Roman"/>
                <w:sz w:val="22"/>
                <w:szCs w:val="22"/>
                <w:color w:val="auto"/>
              </w:rPr>
              <w:t>Date: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08/18/2025</w:t>
            </w: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1140"/>
          </w:cols>
          <w:pgMar w:left="360" w:top="112" w:right="399" w:bottom="1440" w:gutter="0" w:footer="0" w:header="0"/>
        </w:sectPr>
      </w:pPr>
    </w:p>
    <w:p>
      <w:pPr>
        <w:spacing w:after="0" w:line="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This Amendment No. 4 to Schedule 13D was executed by Zachary Bambach on behalf of the individuals listed above pursuant to a Power of Attorney, a copy of which is attached as Exhibit 2.</w:t>
      </w:r>
    </w:p>
    <w:p>
      <w:pPr>
        <w:sectPr>
          <w:pgSz w:w="11900" w:h="16838" w:orient="portrait"/>
          <w:cols w:equalWidth="0" w:num="2">
            <w:col w:w="1200" w:space="580"/>
            <w:col w:w="9360"/>
          </w:cols>
          <w:pgMar w:left="360" w:top="112" w:right="39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Marker Therapeutics,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this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2025.</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ENTERPRISE ASSOCIATES 16,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NEA PARTNERS 16, L.P.</w:t>
            </w:r>
          </w:p>
        </w:tc>
      </w:tr>
      <w:tr>
        <w:trPr>
          <w:trHeight w:val="234"/>
        </w:trPr>
        <w:tc>
          <w:tcPr>
            <w:tcW w:w="500" w:type="dxa"/>
            <w:vAlign w:val="bottom"/>
          </w:tcPr>
          <w:p>
            <w:pPr>
              <w:spacing w:after="0"/>
              <w:rPr>
                <w:sz w:val="20"/>
                <w:szCs w:val="20"/>
                <w:color w:val="auto"/>
              </w:rPr>
            </w:pPr>
          </w:p>
        </w:tc>
        <w:tc>
          <w:tcPr>
            <w:tcW w:w="5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0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NEA 16 GP, LLC</w:t>
            </w: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99"/>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r>
        <w:trPr>
          <w:trHeight w:val="405"/>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Mohamad H. Makhzoumi</w:t>
            </w: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PARTNERS 16,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NEA 16 GP, LLC</w:t>
            </w:r>
          </w:p>
        </w:tc>
      </w:tr>
      <w:tr>
        <w:trPr>
          <w:trHeight w:val="234"/>
        </w:trPr>
        <w:tc>
          <w:tcPr>
            <w:tcW w:w="400" w:type="dxa"/>
            <w:vAlign w:val="bottom"/>
          </w:tcPr>
          <w:p>
            <w:pPr>
              <w:spacing w:after="0"/>
              <w:rPr>
                <w:sz w:val="20"/>
                <w:szCs w:val="20"/>
                <w:color w:val="auto"/>
              </w:rPr>
            </w:pPr>
          </w:p>
        </w:tc>
        <w:tc>
          <w:tcPr>
            <w:tcW w:w="4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05"/>
        </w:trPr>
        <w:tc>
          <w:tcPr>
            <w:tcW w:w="4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  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24"/>
                <w:szCs w:val="24"/>
                <w:color w:val="auto"/>
              </w:rPr>
            </w:pPr>
          </w:p>
        </w:tc>
      </w:tr>
      <w:tr>
        <w:trPr>
          <w:trHeight w:val="214"/>
        </w:trPr>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Anthony A. Florence, Jr.</w:t>
            </w:r>
          </w:p>
        </w:tc>
      </w:tr>
      <w:tr>
        <w:trPr>
          <w:trHeight w:val="258"/>
        </w:trPr>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17"/>
                <w:szCs w:val="17"/>
                <w:color w:val="auto"/>
              </w:rPr>
              <w:t>Managing Partner and Co-Chief Executive Officer</w:t>
            </w:r>
          </w:p>
        </w:tc>
      </w:tr>
      <w:tr>
        <w:trPr>
          <w:trHeight w:val="399"/>
        </w:trPr>
        <w:tc>
          <w:tcPr>
            <w:tcW w:w="4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  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24"/>
                <w:szCs w:val="24"/>
                <w:color w:val="auto"/>
              </w:rPr>
            </w:pPr>
          </w:p>
        </w:tc>
      </w:tr>
      <w:tr>
        <w:trPr>
          <w:trHeight w:val="218"/>
        </w:trPr>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Mohamad H. Makhzoumi</w:t>
            </w:r>
          </w:p>
        </w:tc>
      </w:tr>
      <w:tr>
        <w:trPr>
          <w:trHeight w:val="234"/>
        </w:trPr>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Managing Partner 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16 GP, LLC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spacing w:after="0"/>
              <w:rPr>
                <w:sz w:val="18"/>
                <w:szCs w:val="18"/>
                <w:color w:val="auto"/>
              </w:rPr>
            </w:pPr>
          </w:p>
        </w:tc>
      </w:tr>
      <w:tr>
        <w:trPr>
          <w:trHeight w:val="218"/>
        </w:trPr>
        <w:tc>
          <w:tcPr>
            <w:tcW w:w="360" w:type="dxa"/>
            <w:vAlign w:val="bottom"/>
          </w:tcPr>
          <w:p>
            <w:pPr>
              <w:spacing w:after="0"/>
              <w:rPr>
                <w:sz w:val="18"/>
                <w:szCs w:val="18"/>
                <w:color w:val="auto"/>
              </w:rPr>
            </w:pPr>
          </w:p>
        </w:tc>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360" w:type="dxa"/>
            <w:vAlign w:val="bottom"/>
          </w:tcPr>
          <w:p>
            <w:pPr>
              <w:spacing w:after="0"/>
              <w:rPr>
                <w:sz w:val="20"/>
                <w:szCs w:val="20"/>
                <w:color w:val="auto"/>
              </w:rPr>
            </w:pPr>
          </w:p>
        </w:tc>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tc>
      </w:tr>
      <w:tr>
        <w:trPr>
          <w:trHeight w:val="40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spacing w:after="0"/>
              <w:rPr>
                <w:sz w:val="24"/>
                <w:szCs w:val="24"/>
                <w:color w:val="auto"/>
              </w:rPr>
            </w:pPr>
          </w:p>
        </w:tc>
      </w:tr>
      <w:tr>
        <w:trPr>
          <w:trHeight w:val="218"/>
        </w:trPr>
        <w:tc>
          <w:tcPr>
            <w:tcW w:w="360" w:type="dxa"/>
            <w:vAlign w:val="bottom"/>
          </w:tcPr>
          <w:p>
            <w:pPr>
              <w:spacing w:after="0"/>
              <w:rPr>
                <w:sz w:val="18"/>
                <w:szCs w:val="18"/>
                <w:color w:val="auto"/>
              </w:rPr>
            </w:pPr>
          </w:p>
        </w:tc>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Mohamad H. Makhzoumi</w:t>
            </w:r>
          </w:p>
        </w:tc>
      </w:tr>
      <w:tr>
        <w:trPr>
          <w:trHeight w:val="234"/>
        </w:trPr>
        <w:tc>
          <w:tcPr>
            <w:tcW w:w="360" w:type="dxa"/>
            <w:vAlign w:val="bottom"/>
          </w:tcPr>
          <w:p>
            <w:pPr>
              <w:spacing w:after="0"/>
              <w:rPr>
                <w:sz w:val="20"/>
                <w:szCs w:val="20"/>
                <w:color w:val="auto"/>
              </w:rPr>
            </w:pPr>
          </w:p>
        </w:tc>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tc>
      </w:tr>
      <w:tr>
        <w:trPr>
          <w:trHeight w:val="1660"/>
        </w:trPr>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Baskett</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 Behbahani</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Carmen Chang</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36" w:lineRule="exact"/>
        <w:rPr>
          <w:sz w:val="20"/>
          <w:szCs w:val="20"/>
          <w:color w:val="auto"/>
        </w:rPr>
      </w:pPr>
    </w:p>
    <w:p>
      <w:pPr>
        <w:jc w:val="right"/>
        <w:ind w:right="10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jc w:val="right"/>
        <w:ind w:right="10340"/>
        <w:spacing w:after="0"/>
        <w:rPr>
          <w:sz w:val="20"/>
          <w:szCs w:val="20"/>
          <w:color w:val="auto"/>
        </w:rPr>
      </w:pPr>
      <w:r>
        <w:rPr>
          <w:rFonts w:ascii="Times New Roman" w:cs="Times New Roman" w:eastAsia="Times New Roman" w:hAnsi="Times New Roman"/>
          <w:sz w:val="17"/>
          <w:szCs w:val="17"/>
          <w:color w:val="auto"/>
        </w:rPr>
        <w:t>Paul Walker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 Zachary Bambach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-7620</wp:posOffset>
            </wp:positionV>
            <wp:extent cx="13417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41755" cy="8890"/>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Zachary Bambach</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Agreement relating to Schedule 13D was executed by Zachary Bambach on behalf of the individuals listed above pursuant to a Power of Attorney, a copy of which is attached hereto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ind w:left="10340"/>
        <w:spacing w:after="0"/>
        <w:rPr>
          <w:sz w:val="20"/>
          <w:szCs w:val="20"/>
          <w:color w:val="auto"/>
        </w:rPr>
      </w:pPr>
      <w:r>
        <w:rPr>
          <w:rFonts w:ascii="Times New Roman" w:cs="Times New Roman" w:eastAsia="Times New Roman" w:hAnsi="Times New Roman"/>
          <w:sz w:val="17"/>
          <w:szCs w:val="17"/>
          <w:b w:val="1"/>
          <w:bCs w:val="1"/>
          <w:u w:val="single" w:color="auto"/>
          <w:color w:val="auto"/>
        </w:rPr>
        <w:t>EXHIBIT 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hereby constitutes and appoints Zachary Bambach, Nicole Hatcher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including, without limitation, Forms 3, 4 and 5 and Schedules 13D and 13G (and any amendments thereto), and to file the same, with all exhibits thereto, and any other documents in connection therewith, with the Securities and Exchange Commission (the “SEC”), including, but not limited to, signing a Form ID for and on behalf of the undersigned and filing such Form ID with the SEC,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 This power of attorney is perpetual, unless revoked by the undersigned in a signed writing delivered to each of the foregoing attorneys-in-fact.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as of the 29th day of February, 2024.</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Peter J. Barris</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Forest Baskett</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Ali Behbahani</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Ronald D. Bernal</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Ronald 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Ann Bordetsky</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Ann Bordetsky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Carmen Chang</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Philip Chopin</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Philip Chopin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Anthony A. Florence, Jr.</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Jonathan Golden</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Jonathan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Scott Gottlieb</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left="4500"/>
        <w:spacing w:after="0"/>
        <w:rPr>
          <w:sz w:val="20"/>
          <w:szCs w:val="20"/>
          <w:color w:val="auto"/>
        </w:rPr>
      </w:pPr>
      <w:r>
        <w:rPr>
          <w:rFonts w:ascii="Times New Roman" w:cs="Times New Roman" w:eastAsia="Times New Roman" w:hAnsi="Times New Roman"/>
          <w:sz w:val="18"/>
          <w:szCs w:val="18"/>
          <w:color w:val="auto"/>
        </w:rPr>
        <w:t>/s/ Mark Hawkins</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Mark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Jeffrey R. Immelt</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Jeffrey R. Immelt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Aaron Jacobson</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Aaron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Patrick J. Kerins</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Patrick J. Kerins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Hilarie Koplow-McAdams</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Hilarie Koplow-McAdams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Vanessa Larco</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Julio C. Lopez</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Julio C.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Tiffany Le</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Tiffany 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Mohamad H. Makhzoumi</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Edward T. Mathers</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Gregory Papadopoulos</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Kavita Patel</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Kavita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Scott D. Sandell</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A. Brooke Seawell</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Peter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1431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Peter Sonsini</w:t>
      </w:r>
    </w:p>
    <w:p>
      <w:pPr>
        <w:spacing w:after="0" w:line="24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Melissa Taunton</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Melissa Taunton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Paul E. Walker</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Rick Yang</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342900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sectPr>
      <w:pgSz w:w="11900" w:h="16838" w:orient="portrait"/>
      <w:cols w:equalWidth="0" w:num="1">
        <w:col w:w="9019"/>
      </w:cols>
      <w:pgMar w:left="1440" w:top="12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2025-08-18T16:37:41Z</dcterms:created>
  <dcterms:modified xsi:type="dcterms:W3CDTF">2025-08-18T16:37:41Z</dcterms:modified>
</cp:coreProperties>
</file>