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July 21, 2015</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gridSpan w:val="2"/>
          </w:tcPr>
          <w:p>
            <w:pPr>
              <w:spacing w:after="0"/>
              <w:rPr>
                <w:sz w:val="17"/>
                <w:szCs w:val="17"/>
                <w:color w:val="auto"/>
              </w:rPr>
            </w:pPr>
          </w:p>
        </w:tc>
        <w:tc>
          <w:tcPr>
            <w:tcW w:w="242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90"/>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33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1551 Eastlake Avenue East,</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140" w:type="dxa"/>
            <w:vAlign w:val="bottom"/>
          </w:tcPr>
          <w:p>
            <w:pPr>
              <w:spacing w:after="0"/>
              <w:rPr>
                <w:sz w:val="16"/>
                <w:szCs w:val="16"/>
                <w:color w:val="auto"/>
              </w:rPr>
            </w:pPr>
          </w:p>
        </w:tc>
        <w:tc>
          <w:tcPr>
            <w:tcW w:w="90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0"/>
              </w:rPr>
              <w:t>Seattle, WA</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98102</w:t>
            </w:r>
          </w:p>
        </w:tc>
        <w:tc>
          <w:tcPr>
            <w:tcW w:w="8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6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9"/>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0"/>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4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091"/>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21, 2015, we entered into a License and Assignment Agreement with the Mayo Foundation for Medical Education and Research (the “Mayo Foundation”)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License and Assignment Agreement resulted from our exercise of an option that we acquired from Ayer Special Situations Fund I, LP (“Ayer”) that was issued pursuant to a Technology Option Agreement that Ayer entered into with the Mayo Foundation on March 18, 2014.</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of the Agreement runs from July 21, 2015 until the date of our last obligation to make payments under the Agreement, provided that the Mayo Foundation may terminate this Agreement if, among other matters, (i) 30 days after providing us with notice of a material breach of this Agreement, we fail to cure such breach, (ii) we fail to make a sale of a licensed product by July 21, 2025 and (iii) we cease to conduct business in the normal event of operations or become insolvent or bankrupt.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is a summary of the material terms of the Agreement and does not purport to be complete. You should read the complete Agreement, which shall be attached as an exhibit to our Quarterly Report on Form 10-Q for the quarter ended June 30, 2015. We will seek confidential treatment for certain terms of the Agreement at the time of filing such Quarterly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4"/>
          </w:tcPr>
          <w:p>
            <w:pPr>
              <w:ind w:left="210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00" w:type="dxa"/>
            <w:vAlign w:val="bottom"/>
          </w:tcPr>
          <w:p>
            <w:pPr>
              <w:spacing w:after="0"/>
              <w:rPr>
                <w:sz w:val="20"/>
                <w:szCs w:val="20"/>
                <w:color w:val="auto"/>
              </w:rPr>
            </w:pPr>
            <w:r>
              <w:rPr>
                <w:rFonts w:ascii="Arial" w:cs="Arial" w:eastAsia="Arial" w:hAnsi="Arial"/>
                <w:sz w:val="18"/>
                <w:szCs w:val="18"/>
                <w:b w:val="1"/>
                <w:bCs w:val="1"/>
                <w:color w:val="auto"/>
              </w:rPr>
              <w:t>Date: July 27, 2015</w:t>
            </w: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Glynn Wilson</w:t>
            </w:r>
          </w:p>
        </w:tc>
        <w:tc>
          <w:tcPr>
            <w:tcW w:w="3640" w:type="dxa"/>
            <w:vAlign w:val="bottom"/>
          </w:tcPr>
          <w:p>
            <w:pPr>
              <w:spacing w:after="0"/>
              <w:rPr>
                <w:sz w:val="24"/>
                <w:szCs w:val="24"/>
                <w:color w:val="auto"/>
              </w:rPr>
            </w:pPr>
          </w:p>
        </w:tc>
      </w:tr>
      <w:tr>
        <w:trPr>
          <w:trHeight w:val="222"/>
        </w:trPr>
        <w:tc>
          <w:tcPr>
            <w:tcW w:w="3600" w:type="dxa"/>
            <w:vAlign w:val="bottom"/>
          </w:tcPr>
          <w:p>
            <w:pPr>
              <w:spacing w:after="0"/>
              <w:rPr>
                <w:sz w:val="19"/>
                <w:szCs w:val="19"/>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Name: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Glynn Wilson</w:t>
            </w:r>
          </w:p>
        </w:tc>
      </w:tr>
      <w:tr>
        <w:trPr>
          <w:trHeight w:val="230"/>
        </w:trPr>
        <w:tc>
          <w:tcPr>
            <w:tcW w:w="360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Chairman and CEO</w:t>
            </w:r>
          </w:p>
        </w:tc>
      </w:tr>
      <w:tr>
        <w:trPr>
          <w:trHeight w:val="1199"/>
        </w:trPr>
        <w:tc>
          <w:tcPr>
            <w:tcW w:w="3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3600" w:type="dxa"/>
            <w:vAlign w:val="bottom"/>
            <w:shd w:val="clear" w:color="auto" w:fill="808080"/>
          </w:tcPr>
          <w:p>
            <w:pPr>
              <w:spacing w:after="0"/>
              <w:rPr>
                <w:sz w:val="6"/>
                <w:szCs w:val="6"/>
                <w:color w:val="auto"/>
              </w:rPr>
            </w:pPr>
          </w:p>
        </w:tc>
        <w:tc>
          <w:tcPr>
            <w:tcW w:w="276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2020-01-24T03:21:32Z</dcterms:created>
  <dcterms:modified xsi:type="dcterms:W3CDTF">2020-01-24T03:21:32Z</dcterms:modified>
</cp:coreProperties>
</file>