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June 21, 2017</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3"/>
          </w:tcPr>
          <w:p>
            <w:pPr>
              <w:jc w:val="center"/>
              <w:ind w:right="1520"/>
              <w:spacing w:after="0"/>
              <w:rPr>
                <w:sz w:val="20"/>
                <w:szCs w:val="20"/>
                <w:color w:val="auto"/>
              </w:rPr>
            </w:pPr>
            <w:r>
              <w:rPr>
                <w:rFonts w:ascii="Arial" w:cs="Arial" w:eastAsia="Arial" w:hAnsi="Arial"/>
                <w:sz w:val="18"/>
                <w:szCs w:val="18"/>
                <w:b w:val="1"/>
                <w:bCs w:val="1"/>
                <w:color w:val="auto"/>
                <w:w w:val="90"/>
              </w:rPr>
              <w:t>Nevada</w:t>
            </w:r>
          </w:p>
        </w:tc>
        <w:tc>
          <w:tcPr>
            <w:tcW w:w="2480" w:type="dxa"/>
            <w:vAlign w:val="bottom"/>
            <w:gridSpan w:val="3"/>
          </w:tcPr>
          <w:p>
            <w:pPr>
              <w:jc w:val="center"/>
              <w:ind w:left="1610"/>
              <w:spacing w:after="0"/>
              <w:rPr>
                <w:sz w:val="20"/>
                <w:szCs w:val="20"/>
                <w:color w:val="auto"/>
              </w:rPr>
            </w:pPr>
            <w:r>
              <w:rPr>
                <w:rFonts w:ascii="Arial" w:cs="Arial" w:eastAsia="Arial" w:hAnsi="Arial"/>
                <w:sz w:val="18"/>
                <w:szCs w:val="18"/>
                <w:b w:val="1"/>
                <w:bCs w:val="1"/>
                <w:color w:val="auto"/>
                <w:w w:val="90"/>
              </w:rPr>
              <w:t>001-37939</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8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(State or other jurisdiction of incorporation)</w:t>
            </w:r>
          </w:p>
        </w:tc>
        <w:tc>
          <w:tcPr>
            <w:tcW w:w="432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(Commission File Number)</w:t>
            </w:r>
          </w:p>
        </w:tc>
        <w:tc>
          <w:tcPr>
            <w:tcW w:w="2880" w:type="dxa"/>
            <w:vAlign w:val="bottom"/>
            <w:gridSpan w:val="5"/>
          </w:tcPr>
          <w:p>
            <w:pPr>
              <w:jc w:val="center"/>
              <w:ind w:left="3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2"/>
              </w:rPr>
              <w:t>50 N. Laura Street, Suite 2500</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940" w:type="dxa"/>
            <w:vAlign w:val="bottom"/>
          </w:tcPr>
          <w:p>
            <w:pPr>
              <w:spacing w:after="0"/>
              <w:rPr>
                <w:sz w:val="16"/>
                <w:szCs w:val="16"/>
                <w:color w:val="auto"/>
              </w:rPr>
            </w:pPr>
          </w:p>
        </w:tc>
        <w:tc>
          <w:tcPr>
            <w:tcW w:w="2440" w:type="dxa"/>
            <w:vAlign w:val="bottom"/>
            <w:gridSpan w:val="4"/>
          </w:tcPr>
          <w:p>
            <w:pPr>
              <w:jc w:val="center"/>
              <w:ind w:right="1180"/>
              <w:spacing w:after="0" w:line="194" w:lineRule="exact"/>
              <w:rPr>
                <w:sz w:val="20"/>
                <w:szCs w:val="20"/>
                <w:color w:val="auto"/>
              </w:rPr>
            </w:pPr>
            <w:r>
              <w:rPr>
                <w:rFonts w:ascii="Arial" w:cs="Arial" w:eastAsia="Arial" w:hAnsi="Arial"/>
                <w:sz w:val="18"/>
                <w:szCs w:val="18"/>
                <w:b w:val="1"/>
                <w:bCs w:val="1"/>
                <w:color w:val="auto"/>
                <w:w w:val="90"/>
              </w:rPr>
              <w:t>Jacksonville, FL</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8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32202</w:t>
            </w:r>
          </w:p>
        </w:tc>
        <w:tc>
          <w:tcPr>
            <w:tcW w:w="80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38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39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40" w:type="dxa"/>
            <w:vAlign w:val="bottom"/>
            <w:gridSpan w:val="4"/>
          </w:tcPr>
          <w:p>
            <w:pPr>
              <w:jc w:val="center"/>
              <w:ind w:left="1430"/>
              <w:spacing w:after="0"/>
              <w:rPr>
                <w:sz w:val="20"/>
                <w:szCs w:val="20"/>
                <w:color w:val="auto"/>
              </w:rPr>
            </w:pPr>
            <w:r>
              <w:rPr>
                <w:rFonts w:ascii="Arial" w:cs="Arial" w:eastAsia="Arial" w:hAnsi="Arial"/>
                <w:sz w:val="18"/>
                <w:szCs w:val="18"/>
                <w:b w:val="1"/>
                <w:bCs w:val="1"/>
                <w:color w:val="auto"/>
                <w:w w:val="90"/>
              </w:rPr>
              <w:t>(904) 516-5436</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32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Transaction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21, 2017, TapImmune Inc. (the “Company”) entered into subscription agreements (the “Subscription Agreements”) with certain accredited investors relating to a private placement of units under Rule 506 of Regulation D (the “Offering”). In the private placement transaction, the Company has agreed to sell 1,503,491 shares of common stock for $3.97 per share (the consolidated closing bid price for the common stock on June 21, 2017) and five-year warrants to purchase an equal number of shares of common stock, at an exercise price of $3.97 per share (the “PIPE Warrants”), for $0.125 per PIPE Warrant, with one common share and one PIPE Warrant being sold together as a unit (a “Unit”) for a total of $4.095 per Unit. Under the Subscription Agreements, in which the Company and investors have made customary representations to each other, the Company has agreed to sell, and the investors have agreed to purchase, an aggregate of 1,503,491 million Units at for aggregate gross proceeds of approximately $6.16 million. The closing of the transaction is subject to delivery of funds from the investors and is expected to occur on June 26, 2017.</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to be entered into at the closing of the Offering, promptly, but no later than 90 calendar days after the closing of the Offering, the Company is required to file a registration statement (the “Registration Statement”) with the Securities and Exchange Commission (the “SEC”) registering for resale (a) the common stock issued in the Offering; (b) the shares of common stock issuable upon the exercise of the PIPE Warrants; and (c) the shares of common stock issuable upon the exercise of the warrants issued to Katalyst Securities LLC, which acted as placement agent for the Offering (as described below). The Company is required to use its commercially reasonable efforts to ensure that the Registration Statement is declared effective within 90 calendar days after filing with the SEC.</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foregoing is a summary of the terms of the PIPE Warrant, Subscription Agreement and the Registration Rights Agreement and does not purport to be complete. The foregoing summary is qualified in its entirety by reference to the full text of the PIPE Warrant, Subscription Agreement and the Registration Rights Agreement, copies of which are filed herewith as Exhibits 4.1, 10.1 and 10.2, respectively,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Exercises and Repricings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Repricing of Warrants issued in August 2016 Private 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Offering, the Company agreed that investors who purchase Units in the Offering and who also purchased units in the private placement that closed in August 2016 (which units included warrants to purchase common stock at $6.00 per share) could have the exercise price for their warrants issued in that transaction reduced from $6.00 per share to $3.97 per share upon payment to the Company of $0.125 for each share subject to the investor’s 2016 warrant. Investors in the Offering paid such amount with respect to their 2016 warrants to purchase an aggregate of 265,573 shares of common stock. The warrants to purchase an aggregate of 387,614 shares of common stock that were issued to all of the other investors in the 2016 private placement transaction (those who did not participate in this Offering) will have the exercise price reduced from $6.00 per share to $3.97 per share without the payment of any additional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Exercise and Repricing of Warrants Held by Existing Institutional Investors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21, 2017, certain existing institutional shareholders of the Company who hold various outstanding warrants to purchase Company common stock, entered into Warrant Exercise Agreements (the “Warrant Exercise Agreements”), in which the Company agreed to reduce the exercise price for a portion of the investors’ existing Series E warrants from $15.00 per share to $3.97 per share, provided that the investors exercise such portion of the warrants immediately. Pursuant to the Warrant Exercise Agreements, such warrant holders agreed to exercise Series E warrants to purchase an aggregate of 167,926 shares of Company common stock for aggregate gross proceeds of approximately $666,666, with the exercise price for 75% of the remainder of the investors’ Series E warrants to purchase 186,555 shares of Company common stock being reduced from $15.00 per share to $4.50 per share. The remaining 25% of such investors’ Series E warrants to purchase an aggregate of 62,185 shares of Company common stock will retain their current exercise price. Additionally, the exercise prices for 75% of such investors’ Series C, Series D and Series F warrants will be reduced to $4.00 per share from their current exercise prices of: $6.00 per share for Series C warrants (for 313,750 shares out of a total of 418,333 shares subject to their Series C warrants); $9.00 per share for Series D warrants (for 312,500 shares out of a total of 416,666 shares subject to their Series D warrants); and $7.20 per share for Series F warrants (for 292,500 shares out of a total of 390,000 shares subject to their Series F warrants). The remainder of the investors’ Series C, Series D and Series F warrants will retain their current exercise prices. Closing of the Warrant Exercise Agreements is subject to delivery of funds from the investors and is expected to occur on June 26, 2017.</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is a summary of the terms the Warrant Exercise Agreements and does not purport to be complete. The foregoing summary is qualified in its entirety by reference to the full text of the form of the Warrant Exercise Agreement, a copy of the form of which is filed herewith as Exhibit 10.3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Agency Agreement; Agent 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an Agency Agreement, dated May 12, 2017, by and between the Company and Katalyst Securities LLC (“Katalyst”) (the “Agency Agreement”), Katalyst agreed to act as the Company’s placement agent in connection with the Offering.</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Agency Agreement, the Company agreed to pay to Katalyst: (i) an aggregate cash fee for placement agent and financial advisory services equal to 10% of the gross proceeds of the Offering; (ii) a non-accountable expense allowance in the amount of Fifty Thousand Dollars ($50,000); and (iii) five-year warrants to purchase a number of shares of common stock of the Company equal to 10% of the number of shares sold in the Offering (the “Katalyst Warrants”). The Katalyst Warrants have the same terms as the PIPE Warrants issued in the Offering.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descriptions of the Agency Agreement and the Katalyst Warrants are only summaries of their material terms and do not purport to be complete.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Copies of the Agency Agreement and Katalyst Warrant are attached hereto as Exhibits 4.2 and 10.4,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intends to use the net proceeds for general corporate purposes, including clinical trial expenses and research and development expenses.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information provided in Item 1.01 is incorporated by reference into this Item 3.02. The securities were sold in reliance upon exemption from registration provided by Section 4(a)(2) of the Securities Act of 1933, as amended (“Securities Act”) and Rule 506 promulgated thereunder. In determining that the issuance of the securities qualified for an exemption under Section 4(a)(2) and Rule 506, the Company relied on the following facts: (i) all of the purchasers in the Offering were accredited investors, as defined in Rule 501 of Regulation D promulgated under the Securities Act, (ii) the Company did not use any form of general solicitation or advertising to offer the Units; and (iii) the investment intent of the purchasers.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6"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4445</wp:posOffset>
            </wp:positionV>
            <wp:extent cx="663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1"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PIPE Warrant</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Katalyst Warrant</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Subscription Agreement</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Registration Rights Agreement</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Warrant Exercise Agreement</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Agency Agreement</w:t>
      </w:r>
    </w:p>
    <w:p>
      <w:pPr>
        <w:spacing w:after="0" w:line="9"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740" w:type="dxa"/>
            <w:vAlign w:val="bottom"/>
            <w:gridSpan w:val="2"/>
          </w:tcPr>
          <w:p>
            <w:pPr>
              <w:ind w:left="1960"/>
              <w:spacing w:after="0"/>
              <w:rPr>
                <w:sz w:val="20"/>
                <w:szCs w:val="20"/>
                <w:color w:val="auto"/>
              </w:rPr>
            </w:pPr>
            <w:r>
              <w:rPr>
                <w:rFonts w:ascii="Arial" w:cs="Arial" w:eastAsia="Arial" w:hAnsi="Arial"/>
                <w:sz w:val="18"/>
                <w:szCs w:val="18"/>
                <w:b w:val="1"/>
                <w:bCs w:val="1"/>
                <w:color w:val="auto"/>
              </w:rPr>
              <w:t>TAPIMMUNE INC.</w:t>
            </w:r>
          </w:p>
        </w:tc>
        <w:tc>
          <w:tcPr>
            <w:tcW w:w="218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b w:val="1"/>
                <w:bCs w:val="1"/>
                <w:color w:val="auto"/>
              </w:rPr>
              <w:t>Date: June 22, 2017</w:t>
            </w:r>
          </w:p>
        </w:tc>
        <w:tc>
          <w:tcPr>
            <w:tcW w:w="2540" w:type="dxa"/>
            <w:vAlign w:val="bottom"/>
          </w:tcPr>
          <w:p>
            <w:pPr>
              <w:ind w:left="1960"/>
              <w:spacing w:after="0"/>
              <w:rPr>
                <w:sz w:val="20"/>
                <w:szCs w:val="20"/>
                <w:color w:val="auto"/>
              </w:rPr>
            </w:pPr>
            <w:r>
              <w:rPr>
                <w:rFonts w:ascii="Arial" w:cs="Arial" w:eastAsia="Arial" w:hAnsi="Arial"/>
                <w:sz w:val="18"/>
                <w:szCs w:val="18"/>
                <w:color w:val="auto"/>
              </w:rPr>
              <w:t>By:</w:t>
            </w:r>
          </w:p>
        </w:tc>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Glynn Wilson</w:t>
            </w:r>
          </w:p>
        </w:tc>
        <w:tc>
          <w:tcPr>
            <w:tcW w:w="21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540" w:type="dxa"/>
            <w:vAlign w:val="bottom"/>
          </w:tcPr>
          <w:p>
            <w:pPr>
              <w:ind w:left="1960"/>
              <w:spacing w:after="0" w:line="195" w:lineRule="exact"/>
              <w:rPr>
                <w:sz w:val="20"/>
                <w:szCs w:val="20"/>
                <w:color w:val="auto"/>
              </w:rPr>
            </w:pPr>
            <w:r>
              <w:rPr>
                <w:rFonts w:ascii="Arial" w:cs="Arial" w:eastAsia="Arial" w:hAnsi="Arial"/>
                <w:sz w:val="18"/>
                <w:szCs w:val="18"/>
                <w:color w:val="auto"/>
              </w:rPr>
              <w:t>Name:</w:t>
            </w:r>
          </w:p>
        </w:tc>
        <w:tc>
          <w:tcPr>
            <w:tcW w:w="3200" w:type="dxa"/>
            <w:vAlign w:val="bottom"/>
          </w:tcPr>
          <w:p>
            <w:pPr>
              <w:spacing w:after="0" w:line="195" w:lineRule="exact"/>
              <w:rPr>
                <w:sz w:val="20"/>
                <w:szCs w:val="20"/>
                <w:color w:val="auto"/>
              </w:rPr>
            </w:pPr>
            <w:r>
              <w:rPr>
                <w:rFonts w:ascii="Arial" w:cs="Arial" w:eastAsia="Arial" w:hAnsi="Arial"/>
                <w:sz w:val="18"/>
                <w:szCs w:val="18"/>
                <w:color w:val="auto"/>
              </w:rPr>
              <w:t>Glynn Wilson</w:t>
            </w:r>
          </w:p>
        </w:tc>
        <w:tc>
          <w:tcPr>
            <w:tcW w:w="218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540" w:type="dxa"/>
            <w:vAlign w:val="bottom"/>
          </w:tcPr>
          <w:p>
            <w:pPr>
              <w:ind w:left="1960"/>
              <w:spacing w:after="0"/>
              <w:rPr>
                <w:sz w:val="20"/>
                <w:szCs w:val="20"/>
                <w:color w:val="auto"/>
              </w:rPr>
            </w:pPr>
            <w:r>
              <w:rPr>
                <w:rFonts w:ascii="Arial" w:cs="Arial" w:eastAsia="Arial" w:hAnsi="Arial"/>
                <w:sz w:val="18"/>
                <w:szCs w:val="18"/>
                <w:color w:val="auto"/>
              </w:rPr>
              <w:t>Title:</w:t>
            </w:r>
          </w:p>
        </w:tc>
        <w:tc>
          <w:tcPr>
            <w:tcW w:w="3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180" w:type="dxa"/>
            <w:vAlign w:val="bottom"/>
          </w:tcPr>
          <w:p>
            <w:pPr>
              <w:spacing w:after="0"/>
              <w:rPr>
                <w:sz w:val="20"/>
                <w:szCs w:val="20"/>
                <w:color w:val="auto"/>
              </w:rPr>
            </w:pPr>
          </w:p>
        </w:tc>
      </w:tr>
      <w:tr>
        <w:trPr>
          <w:trHeight w:val="675"/>
        </w:trPr>
        <w:tc>
          <w:tcPr>
            <w:tcW w:w="35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INVESTOR WARRANT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20"/>
          </w:cols>
          <w:pgMar w:left="240" w:top="364"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WARRANT NO.: 2017PIPE-[__]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DATE OF ISSUANCE: [_______________],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[____________], 2022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NUMBER OF SHARES: [_________]</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 hereunder)</w:t>
      </w:r>
    </w:p>
    <w:p>
      <w:pPr>
        <w:spacing w:after="0" w:line="416" w:lineRule="exact"/>
        <w:rPr>
          <w:sz w:val="20"/>
          <w:szCs w:val="20"/>
          <w:color w:val="auto"/>
        </w:rPr>
      </w:pPr>
    </w:p>
    <w:p>
      <w:pPr>
        <w:sectPr>
          <w:pgSz w:w="11900" w:h="16838" w:orient="portrait"/>
          <w:cols w:equalWidth="0" w:num="2">
            <w:col w:w="7840" w:space="720"/>
            <w:col w:w="2860"/>
          </w:cols>
          <w:pgMar w:left="240" w:top="364"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WARRANT TO PURCHASE SHARES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COMMON STOCK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364" w:right="239" w:bottom="1440" w:gutter="0" w:footer="0" w:header="0"/>
          <w:type w:val="continuous"/>
        </w:sect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Warrant is issued to [____________________], or its registered assigns (including any successors or assigns, the “</w:t>
      </w:r>
      <w:r>
        <w:rPr>
          <w:rFonts w:ascii="Arial" w:cs="Arial" w:eastAsia="Arial" w:hAnsi="Arial"/>
          <w:sz w:val="16"/>
          <w:szCs w:val="16"/>
          <w:b w:val="1"/>
          <w:bCs w:val="1"/>
          <w:color w:val="auto"/>
        </w:rPr>
        <w:t>Warrantholder</w:t>
      </w:r>
      <w:r>
        <w:rPr>
          <w:rFonts w:ascii="Arial" w:cs="Arial" w:eastAsia="Arial" w:hAnsi="Arial"/>
          <w:sz w:val="16"/>
          <w:szCs w:val="16"/>
          <w:color w:val="auto"/>
        </w:rPr>
        <w:t>”), which is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hereby acknowledged in connection with that certain Subscription Agreement, dated as of [______________], 2017, by and among TapImmune Inc.,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each of the those persons and entities listed as a Purchaser on Annex A thereto (the “</w:t>
      </w:r>
      <w:r>
        <w:rPr>
          <w:rFonts w:ascii="Arial" w:cs="Arial" w:eastAsia="Arial" w:hAnsi="Arial"/>
          <w:sz w:val="16"/>
          <w:szCs w:val="16"/>
          <w:b w:val="1"/>
          <w:bCs w:val="1"/>
          <w:color w:val="auto"/>
        </w:rPr>
        <w:t>Purchase Agreement</w:t>
      </w:r>
      <w:r>
        <w:rPr>
          <w:rFonts w:ascii="Arial" w:cs="Arial" w:eastAsia="Arial" w:hAnsi="Arial"/>
          <w:sz w:val="16"/>
          <w:szCs w:val="16"/>
          <w:color w:val="auto"/>
        </w:rPr>
        <w:t>”).</w:t>
      </w:r>
    </w:p>
    <w:p>
      <w:pPr>
        <w:spacing w:after="0" w:line="234" w:lineRule="exact"/>
        <w:rPr>
          <w:sz w:val="20"/>
          <w:szCs w:val="20"/>
          <w:color w:val="auto"/>
        </w:rPr>
      </w:pPr>
    </w:p>
    <w:p>
      <w:pPr>
        <w:ind w:left="1060" w:hanging="53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045"/>
        <w:spacing w:after="0" w:line="257" w:lineRule="auto"/>
        <w:tabs>
          <w:tab w:leader="none" w:pos="1547"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Number and Exercise Price of Warrant Shares; Expiration Date</w:t>
      </w:r>
      <w:r>
        <w:rPr>
          <w:rFonts w:ascii="Arial" w:cs="Arial" w:eastAsia="Arial" w:hAnsi="Arial"/>
          <w:sz w:val="18"/>
          <w:szCs w:val="18"/>
          <w:color w:val="auto"/>
        </w:rPr>
        <w:t>. Subject to the terms and conditions set forth herein and set forth in the Purchase Agreement, the Warrantholder is entitled to purchase from the Company up to [_______________] shares of the Company’s 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(as adjusted from time to time pursuant to the provisions of this Warrant) (the “</w:t>
      </w:r>
      <w:r>
        <w:rPr>
          <w:rFonts w:ascii="Arial" w:cs="Arial" w:eastAsia="Arial" w:hAnsi="Arial"/>
          <w:sz w:val="18"/>
          <w:szCs w:val="18"/>
          <w:b w:val="1"/>
          <w:bCs w:val="1"/>
          <w:color w:val="auto"/>
        </w:rPr>
        <w:t>Warrant Shares</w:t>
      </w:r>
      <w:r>
        <w:rPr>
          <w:rFonts w:ascii="Arial" w:cs="Arial" w:eastAsia="Arial" w:hAnsi="Arial"/>
          <w:sz w:val="18"/>
          <w:szCs w:val="18"/>
          <w:color w:val="auto"/>
        </w:rPr>
        <w:t>”), at a purchase price of $[______] per share (the “</w:t>
      </w:r>
      <w:r>
        <w:rPr>
          <w:rFonts w:ascii="Arial" w:cs="Arial" w:eastAsia="Arial" w:hAnsi="Arial"/>
          <w:sz w:val="18"/>
          <w:szCs w:val="18"/>
          <w:b w:val="1"/>
          <w:bCs w:val="1"/>
          <w:color w:val="auto"/>
        </w:rPr>
        <w:t>Exercise Price</w:t>
      </w:r>
      <w:r>
        <w:rPr>
          <w:rFonts w:ascii="Arial" w:cs="Arial" w:eastAsia="Arial" w:hAnsi="Arial"/>
          <w:sz w:val="18"/>
          <w:szCs w:val="18"/>
          <w:color w:val="auto"/>
        </w:rPr>
        <w:t>”), on or before 5:00 p.m. New York City time on the fifth anniversary of the Date of Issuance (the “</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of this Warrant as set forth herein).</w:t>
      </w:r>
    </w:p>
    <w:p>
      <w:pPr>
        <w:spacing w:after="0" w:line="188" w:lineRule="exact"/>
        <w:rPr>
          <w:rFonts w:ascii="Arial" w:cs="Arial" w:eastAsia="Arial" w:hAnsi="Arial"/>
          <w:sz w:val="18"/>
          <w:szCs w:val="18"/>
          <w:color w:val="auto"/>
        </w:rPr>
      </w:pPr>
    </w:p>
    <w:p>
      <w:pPr>
        <w:ind w:right="20" w:firstLine="1045"/>
        <w:spacing w:after="0" w:line="277" w:lineRule="auto"/>
        <w:tabs>
          <w:tab w:leader="none" w:pos="1558"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While this Warrant remains outstanding and exercisable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the Warrantholder may exercise this Warrant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herein, by either:</w:t>
      </w:r>
    </w:p>
    <w:p>
      <w:pPr>
        <w:spacing w:after="0" w:line="170" w:lineRule="exact"/>
        <w:rPr>
          <w:rFonts w:ascii="Arial" w:cs="Arial" w:eastAsia="Arial" w:hAnsi="Arial"/>
          <w:sz w:val="18"/>
          <w:szCs w:val="18"/>
          <w:color w:val="auto"/>
        </w:rPr>
      </w:pPr>
    </w:p>
    <w:p>
      <w:pPr>
        <w:ind w:left="2180" w:hanging="616"/>
        <w:spacing w:after="0"/>
        <w:tabs>
          <w:tab w:leader="none" w:pos="2180" w:val="left"/>
        </w:tabs>
        <w:numPr>
          <w:ilvl w:val="2"/>
          <w:numId w:val="3"/>
        </w:numPr>
        <w:rPr>
          <w:rFonts w:ascii="Arial" w:cs="Arial" w:eastAsia="Arial" w:hAnsi="Arial"/>
          <w:sz w:val="16"/>
          <w:szCs w:val="16"/>
          <w:color w:val="auto"/>
        </w:rPr>
      </w:pPr>
      <w:r>
        <w:rPr>
          <w:rFonts w:ascii="Arial" w:cs="Arial" w:eastAsia="Arial" w:hAnsi="Arial"/>
          <w:sz w:val="16"/>
          <w:szCs w:val="16"/>
          <w:color w:val="auto"/>
        </w:rPr>
        <w:t>wire transfer to the Company or cashier’s check drawn on a United States bank made payable to the order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6" w:name="page7"/>
    <w:bookmarkEnd w:id="6"/>
    <w:p>
      <w:pPr>
        <w:ind w:firstLine="1564"/>
        <w:spacing w:after="0" w:line="277" w:lineRule="auto"/>
        <w:tabs>
          <w:tab w:leader="none" w:pos="219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exercising of the right to credit the Exercise Price against the Fair Market Value of the Warrant Shares (as defined below) at the time of exercise (the “</w:t>
      </w:r>
      <w:r>
        <w:rPr>
          <w:rFonts w:ascii="Arial" w:cs="Arial" w:eastAsia="Arial" w:hAnsi="Arial"/>
          <w:sz w:val="18"/>
          <w:szCs w:val="18"/>
          <w:b w:val="1"/>
          <w:bCs w:val="1"/>
          <w:color w:val="auto"/>
        </w:rPr>
        <w:t>Net Exercise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65" w:lineRule="exact"/>
        <w:rPr>
          <w:sz w:val="20"/>
          <w:szCs w:val="20"/>
          <w:color w:val="auto"/>
        </w:rPr>
      </w:pPr>
    </w:p>
    <w:p>
      <w:pPr>
        <w:jc w:val="both"/>
        <w:ind w:firstLine="1045"/>
        <w:spacing w:after="0" w:line="264" w:lineRule="auto"/>
        <w:tabs>
          <w:tab w:leader="none" w:pos="1579"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Net Exercise</w:t>
      </w:r>
      <w:r>
        <w:rPr>
          <w:rFonts w:ascii="Arial" w:cs="Arial" w:eastAsia="Arial" w:hAnsi="Arial"/>
          <w:sz w:val="18"/>
          <w:szCs w:val="18"/>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124460</wp:posOffset>
            </wp:positionV>
            <wp:extent cx="78041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041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X = The number of Warrant Shares to be issued to the Warrantholder.</w:t>
      </w:r>
    </w:p>
    <w:p>
      <w:pPr>
        <w:spacing w:after="0" w:line="225" w:lineRule="exact"/>
        <w:rPr>
          <w:sz w:val="20"/>
          <w:szCs w:val="20"/>
          <w:color w:val="auto"/>
        </w:rPr>
      </w:pPr>
    </w:p>
    <w:p>
      <w:pPr>
        <w:ind w:left="1620" w:hanging="323"/>
        <w:spacing w:after="0" w:line="277" w:lineRule="auto"/>
        <w:rPr>
          <w:sz w:val="20"/>
          <w:szCs w:val="20"/>
          <w:color w:val="auto"/>
        </w:rPr>
      </w:pPr>
      <w:r>
        <w:rPr>
          <w:rFonts w:ascii="Arial" w:cs="Arial" w:eastAsia="Arial" w:hAnsi="Arial"/>
          <w:sz w:val="18"/>
          <w:szCs w:val="18"/>
          <w:color w:val="auto"/>
        </w:rPr>
        <w:t>Y = The number of Warrant Shares purchasable under this Warrant or, if only a portion of the Warrant is being exercised, the portion of the Warrant being cancelled (at the date of such calculation).</w:t>
      </w:r>
    </w:p>
    <w:p>
      <w:pPr>
        <w:spacing w:after="0" w:line="170" w:lineRule="exact"/>
        <w:rPr>
          <w:sz w:val="20"/>
          <w:szCs w:val="20"/>
          <w:color w:val="auto"/>
        </w:rPr>
      </w:pPr>
    </w:p>
    <w:p>
      <w:pPr>
        <w:ind w:left="1620" w:hanging="323"/>
        <w:spacing w:after="0" w:line="277" w:lineRule="auto"/>
        <w:rPr>
          <w:sz w:val="20"/>
          <w:szCs w:val="20"/>
          <w:color w:val="auto"/>
        </w:rPr>
      </w:pPr>
      <w:r>
        <w:rPr>
          <w:rFonts w:ascii="Arial" w:cs="Arial" w:eastAsia="Arial" w:hAnsi="Arial"/>
          <w:sz w:val="18"/>
          <w:szCs w:val="18"/>
          <w:color w:val="auto"/>
        </w:rPr>
        <w:t>A = The Fair Market Value of one (1) share of Common Stock on the trading date immediately preceding the date on which Warrantholder elects to exercise this Warrant.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 The Exercise Price (as adjusted hereunder).</w:t>
      </w:r>
    </w:p>
    <w:p>
      <w:pPr>
        <w:spacing w:after="0" w:line="221" w:lineRule="exact"/>
        <w:rPr>
          <w:sz w:val="20"/>
          <w:szCs w:val="20"/>
          <w:color w:val="auto"/>
        </w:rPr>
      </w:pPr>
    </w:p>
    <w:p>
      <w:pPr>
        <w:jc w:val="both"/>
        <w:ind w:firstLine="1037"/>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Arial" w:cs="Arial" w:eastAsia="Arial" w:hAnsi="Arial"/>
          <w:sz w:val="16"/>
          <w:szCs w:val="16"/>
          <w:b w:val="1"/>
          <w:bCs w:val="1"/>
          <w:color w:val="auto"/>
        </w:rPr>
        <w:t>Bloomberg</w:t>
      </w:r>
      <w:r>
        <w:rPr>
          <w:rFonts w:ascii="Arial" w:cs="Arial" w:eastAsia="Arial" w:hAnsi="Arial"/>
          <w:sz w:val="16"/>
          <w:szCs w:val="16"/>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Markets</w:t>
      </w:r>
      <w:r>
        <w:rPr>
          <w:rFonts w:ascii="Arial" w:cs="Arial" w:eastAsia="Arial" w:hAnsi="Arial"/>
          <w:sz w:val="18"/>
          <w:szCs w:val="18"/>
          <w:color w:val="auto"/>
        </w:rPr>
        <w:t>” shall mean either OTC QX or OTC QB of the OTC Markets Group, Inc.</w:t>
      </w:r>
    </w:p>
    <w:p>
      <w:pPr>
        <w:spacing w:after="0" w:line="225"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80" w:lineRule="exact"/>
        <w:rPr>
          <w:sz w:val="20"/>
          <w:szCs w:val="20"/>
          <w:color w:val="auto"/>
        </w:rPr>
      </w:pPr>
    </w:p>
    <w:p>
      <w:pPr>
        <w:jc w:val="both"/>
        <w:ind w:firstLine="1045"/>
        <w:spacing w:after="0" w:line="259" w:lineRule="auto"/>
        <w:tabs>
          <w:tab w:leader="none" w:pos="1562"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Deemed Exercise</w:t>
      </w:r>
      <w:r>
        <w:rPr>
          <w:rFonts w:ascii="Arial" w:cs="Arial" w:eastAsia="Arial" w:hAnsi="Arial"/>
          <w:sz w:val="18"/>
          <w:szCs w:val="18"/>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is greater than the then applicable Exercise Price, this Warrant shall be deemed to be automatically exercised on a net exercise issue basis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the Company shall deliver the applicable number of Warrant Shares to the Warrantholder pursuant to the provisions of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above and this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060" w:hanging="53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ADJUSTMENTS.</w:t>
      </w:r>
    </w:p>
    <w:p>
      <w:pPr>
        <w:spacing w:after="0" w:line="225" w:lineRule="exact"/>
        <w:rPr>
          <w:rFonts w:ascii="Arial" w:cs="Arial" w:eastAsia="Arial" w:hAnsi="Arial"/>
          <w:sz w:val="18"/>
          <w:szCs w:val="18"/>
          <w:color w:val="auto"/>
        </w:rPr>
      </w:pPr>
    </w:p>
    <w:p>
      <w:pPr>
        <w:ind w:firstLine="1045"/>
        <w:spacing w:after="0" w:line="277" w:lineRule="auto"/>
        <w:tabs>
          <w:tab w:leader="none" w:pos="155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Adjustment of Number of Warrant Shares and Exercise Price</w:t>
      </w:r>
      <w:r>
        <w:rPr>
          <w:rFonts w:ascii="Arial" w:cs="Arial" w:eastAsia="Arial" w:hAnsi="Arial"/>
          <w:sz w:val="18"/>
          <w:szCs w:val="18"/>
          <w:color w:val="auto"/>
        </w:rPr>
        <w:t>. The number and kind of Warrant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jc w:val="both"/>
        <w:ind w:firstLine="1564"/>
        <w:spacing w:after="0" w:line="271" w:lineRule="auto"/>
        <w:tabs>
          <w:tab w:leader="none" w:pos="2251" w:val="left"/>
        </w:tabs>
        <w:numPr>
          <w:ilvl w:val="2"/>
          <w:numId w:val="7"/>
        </w:numPr>
        <w:rPr>
          <w:rFonts w:ascii="Arial" w:cs="Arial" w:eastAsia="Arial" w:hAnsi="Arial"/>
          <w:sz w:val="17"/>
          <w:szCs w:val="17"/>
          <w:color w:val="auto"/>
        </w:rPr>
      </w:pPr>
      <w:r>
        <w:rPr>
          <w:rFonts w:ascii="Arial" w:cs="Arial" w:eastAsia="Arial" w:hAnsi="Arial"/>
          <w:sz w:val="17"/>
          <w:szCs w:val="17"/>
          <w:u w:val="single" w:color="auto"/>
          <w:color w:val="auto"/>
        </w:rPr>
        <w:t>Subdivisions, Combinations and Other Issuances</w:t>
      </w:r>
      <w:r>
        <w:rPr>
          <w:rFonts w:ascii="Arial" w:cs="Arial" w:eastAsia="Arial" w:hAnsi="Arial"/>
          <w:sz w:val="17"/>
          <w:szCs w:val="17"/>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78" w:lineRule="exact"/>
        <w:rPr>
          <w:rFonts w:ascii="Arial" w:cs="Arial" w:eastAsia="Arial" w:hAnsi="Arial"/>
          <w:sz w:val="17"/>
          <w:szCs w:val="17"/>
          <w:color w:val="auto"/>
        </w:rPr>
      </w:pPr>
    </w:p>
    <w:p>
      <w:pPr>
        <w:jc w:val="both"/>
        <w:ind w:firstLine="1564"/>
        <w:spacing w:after="0" w:line="269" w:lineRule="auto"/>
        <w:tabs>
          <w:tab w:leader="none" w:pos="2319" w:val="left"/>
        </w:tabs>
        <w:numPr>
          <w:ilvl w:val="2"/>
          <w:numId w:val="7"/>
        </w:numPr>
        <w:rPr>
          <w:rFonts w:ascii="Arial" w:cs="Arial" w:eastAsia="Arial" w:hAnsi="Arial"/>
          <w:sz w:val="17"/>
          <w:szCs w:val="17"/>
          <w:color w:val="auto"/>
        </w:rPr>
      </w:pPr>
      <w:r>
        <w:rPr>
          <w:rFonts w:ascii="Arial" w:cs="Arial" w:eastAsia="Arial" w:hAnsi="Arial"/>
          <w:sz w:val="17"/>
          <w:szCs w:val="17"/>
          <w:u w:val="single" w:color="auto"/>
          <w:color w:val="auto"/>
        </w:rPr>
        <w:t>Reclassification, Reorganizations and Consolidation</w:t>
      </w:r>
      <w:r>
        <w:rPr>
          <w:rFonts w:ascii="Arial" w:cs="Arial" w:eastAsia="Arial" w:hAnsi="Arial"/>
          <w:sz w:val="17"/>
          <w:szCs w:val="17"/>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left="-20" w:firstLine="1045"/>
        <w:spacing w:after="0" w:line="272" w:lineRule="auto"/>
        <w:tabs>
          <w:tab w:leader="none" w:pos="1623"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Notice to Warrantholder</w:t>
      </w:r>
      <w:r>
        <w:rPr>
          <w:rFonts w:ascii="Arial" w:cs="Arial" w:eastAsia="Arial" w:hAnsi="Arial"/>
          <w:sz w:val="17"/>
          <w:szCs w:val="17"/>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77" w:lineRule="exact"/>
        <w:rPr>
          <w:rFonts w:ascii="Arial" w:cs="Arial" w:eastAsia="Arial" w:hAnsi="Arial"/>
          <w:sz w:val="17"/>
          <w:szCs w:val="17"/>
          <w:color w:val="auto"/>
        </w:rPr>
      </w:pPr>
    </w:p>
    <w:p>
      <w:pPr>
        <w:jc w:val="both"/>
        <w:ind w:left="-20" w:firstLine="1045"/>
        <w:spacing w:after="0" w:line="264" w:lineRule="auto"/>
        <w:tabs>
          <w:tab w:leader="none" w:pos="157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made to the nearest cent or the nearest whole share, as the case may be.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1560" w:hanging="535"/>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Treatment of Warrant upon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564"/>
        <w:spacing w:after="0" w:line="272" w:lineRule="auto"/>
        <w:tabs>
          <w:tab w:leader="none" w:pos="2195" w:val="left"/>
        </w:tabs>
        <w:numPr>
          <w:ilvl w:val="1"/>
          <w:numId w:val="8"/>
        </w:numPr>
        <w:rPr>
          <w:rFonts w:ascii="Arial" w:cs="Arial" w:eastAsia="Arial" w:hAnsi="Arial"/>
          <w:sz w:val="17"/>
          <w:szCs w:val="17"/>
          <w:color w:val="auto"/>
        </w:rPr>
      </w:pPr>
      <w:r>
        <w:rPr>
          <w:rFonts w:ascii="Arial" w:cs="Arial" w:eastAsia="Arial" w:hAnsi="Arial"/>
          <w:sz w:val="17"/>
          <w:szCs w:val="17"/>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7"/>
          <w:szCs w:val="17"/>
          <w:b w:val="1"/>
          <w:bCs w:val="1"/>
          <w:color w:val="auto"/>
        </w:rPr>
        <w:t>Alternate Consideration</w:t>
      </w:r>
      <w:r>
        <w:rPr>
          <w:rFonts w:ascii="Arial" w:cs="Arial" w:eastAsia="Arial" w:hAnsi="Arial"/>
          <w:sz w:val="17"/>
          <w:szCs w:val="17"/>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shall assume the obligation to deliver to the holder, such Alternate Consideration as, in accordance with the foregoing provisions, the holder may be entitled to purchase, and the other obligations under this Warrant.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 w:name="page10"/>
    <w:bookmarkEnd w:id="9"/>
    <w:p>
      <w:pPr>
        <w:jc w:val="both"/>
        <w:ind w:left="-8" w:firstLine="1564"/>
        <w:spacing w:after="0" w:line="287" w:lineRule="auto"/>
        <w:tabs>
          <w:tab w:leader="none" w:pos="2363" w:val="left"/>
        </w:tabs>
        <w:numPr>
          <w:ilvl w:val="3"/>
          <w:numId w:val="9"/>
        </w:numPr>
        <w:rPr>
          <w:rFonts w:ascii="Arial" w:cs="Arial" w:eastAsia="Arial" w:hAnsi="Arial"/>
          <w:sz w:val="16"/>
          <w:szCs w:val="16"/>
          <w:color w:val="auto"/>
        </w:rPr>
      </w:pPr>
      <w:r>
        <w:rPr>
          <w:rFonts w:ascii="Arial" w:cs="Arial" w:eastAsia="Arial" w:hAnsi="Arial"/>
          <w:sz w:val="16"/>
          <w:szCs w:val="16"/>
          <w:color w:val="auto"/>
        </w:rPr>
        <w:t>As used in this Warrant, a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w:t>
      </w:r>
    </w:p>
    <w:p>
      <w:pPr>
        <w:spacing w:after="0" w:line="2" w:lineRule="exact"/>
        <w:rPr>
          <w:rFonts w:ascii="Arial" w:cs="Arial" w:eastAsia="Arial" w:hAnsi="Arial"/>
          <w:sz w:val="16"/>
          <w:szCs w:val="16"/>
          <w:color w:val="auto"/>
        </w:rPr>
      </w:pPr>
    </w:p>
    <w:p>
      <w:pPr>
        <w:jc w:val="both"/>
        <w:ind w:left="-8" w:firstLine="8"/>
        <w:spacing w:after="0" w:line="255" w:lineRule="auto"/>
        <w:tabs>
          <w:tab w:leader="none" w:pos="3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“person” or “group” (as these terms are used for purposes of Section 13(d) and 14(d)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is or shall become the “beneficial owner” (as defined in Rule 13d-3 under the Exchange Act), directly or indirectly at least a majority of the voting power of the capital stock of the Company.</w:t>
      </w:r>
    </w:p>
    <w:p>
      <w:pPr>
        <w:spacing w:after="0" w:line="190" w:lineRule="exact"/>
        <w:rPr>
          <w:rFonts w:ascii="Arial" w:cs="Arial" w:eastAsia="Arial" w:hAnsi="Arial"/>
          <w:sz w:val="18"/>
          <w:szCs w:val="18"/>
          <w:color w:val="auto"/>
        </w:rPr>
      </w:pPr>
    </w:p>
    <w:p>
      <w:pPr>
        <w:jc w:val="both"/>
        <w:ind w:left="-8" w:firstLine="527"/>
        <w:spacing w:after="0" w:line="264" w:lineRule="auto"/>
        <w:tabs>
          <w:tab w:leader="none" w:pos="12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81" w:lineRule="exact"/>
        <w:rPr>
          <w:rFonts w:ascii="Arial" w:cs="Arial" w:eastAsia="Arial" w:hAnsi="Arial"/>
          <w:sz w:val="18"/>
          <w:szCs w:val="18"/>
          <w:color w:val="auto"/>
        </w:rPr>
      </w:pPr>
    </w:p>
    <w:p>
      <w:pPr>
        <w:jc w:val="both"/>
        <w:ind w:left="-8" w:firstLine="527"/>
        <w:spacing w:after="0" w:line="286" w:lineRule="auto"/>
        <w:tabs>
          <w:tab w:leader="none" w:pos="1226"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below.</w:t>
      </w:r>
    </w:p>
    <w:p>
      <w:pPr>
        <w:spacing w:after="0" w:line="165" w:lineRule="exact"/>
        <w:rPr>
          <w:rFonts w:ascii="Arial" w:cs="Arial" w:eastAsia="Arial" w:hAnsi="Arial"/>
          <w:sz w:val="17"/>
          <w:szCs w:val="17"/>
          <w:color w:val="auto"/>
        </w:rPr>
      </w:pPr>
    </w:p>
    <w:p>
      <w:pPr>
        <w:ind w:left="1052" w:hanging="533"/>
        <w:spacing w:after="0"/>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MECHANICS OF EXERCISE.</w:t>
      </w:r>
    </w:p>
    <w:p>
      <w:pPr>
        <w:spacing w:after="0" w:line="225" w:lineRule="exact"/>
        <w:rPr>
          <w:rFonts w:ascii="Arial" w:cs="Arial" w:eastAsia="Arial" w:hAnsi="Arial"/>
          <w:sz w:val="18"/>
          <w:szCs w:val="18"/>
          <w:color w:val="auto"/>
        </w:rPr>
      </w:pPr>
    </w:p>
    <w:p>
      <w:pPr>
        <w:jc w:val="both"/>
        <w:ind w:left="-8" w:firstLine="1045"/>
        <w:spacing w:after="0" w:line="285" w:lineRule="auto"/>
        <w:tabs>
          <w:tab w:leader="none" w:pos="1656" w:val="left"/>
        </w:tabs>
        <w:numPr>
          <w:ilvl w:val="2"/>
          <w:numId w:val="10"/>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6"/>
          <w:szCs w:val="16"/>
          <w:b w:val="1"/>
          <w:bCs w:val="1"/>
          <w:color w:val="auto"/>
        </w:rPr>
        <w:t>DWAC</w:t>
      </w:r>
      <w:r>
        <w:rPr>
          <w:rFonts w:ascii="Arial" w:cs="Arial" w:eastAsia="Arial" w:hAnsi="Arial"/>
          <w:sz w:val="16"/>
          <w:szCs w:val="16"/>
          <w:color w:val="auto"/>
        </w:rPr>
        <w:t xml:space="preserve">”)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three (3) trading days from the delivery to the Company of the Notice of Exercise and payment of the aggregate Exercise Price (unless exercised by means of a cashless exercise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The Warrant Shares shall be deemed to have been issued, and the holder or any other person so designated to be 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0" w:name="page11"/>
    <w:bookmarkEnd w:id="10"/>
    <w:p>
      <w:pPr>
        <w:ind w:left="-20" w:right="20" w:firstLine="1045"/>
        <w:spacing w:after="0" w:line="277" w:lineRule="auto"/>
        <w:tabs>
          <w:tab w:leader="none" w:pos="165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70" w:lineRule="exact"/>
        <w:rPr>
          <w:rFonts w:ascii="Arial" w:cs="Arial" w:eastAsia="Arial" w:hAnsi="Arial"/>
          <w:sz w:val="18"/>
          <w:szCs w:val="18"/>
          <w:color w:val="auto"/>
        </w:rPr>
      </w:pPr>
    </w:p>
    <w:p>
      <w:pPr>
        <w:jc w:val="both"/>
        <w:ind w:left="-20" w:firstLine="1045"/>
        <w:spacing w:after="0" w:line="283" w:lineRule="auto"/>
        <w:tabs>
          <w:tab w:leader="none" w:pos="158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Warrantholder’s Exercise Limitations</w:t>
      </w:r>
      <w:r>
        <w:rPr>
          <w:rFonts w:ascii="Arial" w:cs="Arial" w:eastAsia="Arial" w:hAnsi="Arial"/>
          <w:sz w:val="16"/>
          <w:szCs w:val="16"/>
          <w:color w:val="auto"/>
        </w:rPr>
        <w:t xml:space="preserve">. A holder shall not have the right to exercise this Warrant,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aggregate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convertible notes or convertible preferred stock or warrants) subject to a limitation on conversion or exercise analogous to the limitation contained herein beneficially owned by the holder or any of its affiliates. Except as set forth in the preceding sentence, for purposes of this section,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 of the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w:t>
      </w:r>
      <w:r>
        <w:rPr>
          <w:rFonts w:ascii="Arial" w:cs="Arial" w:eastAsia="Arial" w:hAnsi="Arial"/>
          <w:sz w:val="16"/>
          <w:szCs w:val="16"/>
          <w:u w:val="single" w:color="auto"/>
          <w:color w:val="auto"/>
        </w:rPr>
        <w:t>Section 5(c)</w:t>
      </w:r>
      <w:r>
        <w:rPr>
          <w:rFonts w:ascii="Arial" w:cs="Arial" w:eastAsia="Arial" w:hAnsi="Arial"/>
          <w:sz w:val="16"/>
          <w:szCs w:val="16"/>
          <w:color w:val="auto"/>
        </w:rPr>
        <w:t>, in determining the number of outstanding shares of Common Stock, a holder may rely on the number of outstanding shares of Common Stock as reflected in (A) the Company’s most recent periodic or annual report filed with the U.S. Securities and Exchange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two (2) trading days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6"/>
          <w:szCs w:val="16"/>
          <w:b w:val="1"/>
          <w:bCs w:val="1"/>
          <w:color w:val="auto"/>
        </w:rPr>
        <w:t>Beneficial Ownership Limitation</w:t>
      </w:r>
      <w:r>
        <w:rPr>
          <w:rFonts w:ascii="Arial" w:cs="Arial" w:eastAsia="Arial" w:hAnsi="Arial"/>
          <w:sz w:val="16"/>
          <w:szCs w:val="16"/>
          <w:color w:val="auto"/>
        </w:rPr>
        <w:t xml:space="preserve">” shall be 9.99% of the number of shares of the Common Stock outstanding immediately after giving effect to the issuance of shares of Common Stock issuable upon exercise of this Warrant. Any such increase or decrease will not be effective until the 61st day after such notice is delivered to the Company. The provisions of this paragraph shall be construed and implemented in strict conformity with the terms of this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 w:name="page12"/>
    <w:bookmarkEnd w:id="11"/>
    <w:p>
      <w:pPr>
        <w:jc w:val="both"/>
        <w:ind w:left="-20" w:firstLine="527"/>
        <w:spacing w:after="0" w:line="264" w:lineRule="auto"/>
        <w:tabs>
          <w:tab w:leader="none" w:pos="11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81" w:lineRule="exact"/>
        <w:rPr>
          <w:rFonts w:ascii="Arial" w:cs="Arial" w:eastAsia="Arial" w:hAnsi="Arial"/>
          <w:sz w:val="18"/>
          <w:szCs w:val="18"/>
          <w:color w:val="auto"/>
        </w:rPr>
      </w:pPr>
    </w:p>
    <w:p>
      <w:pPr>
        <w:ind w:left="1040" w:hanging="533"/>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SECURITIES LAWS.</w:t>
      </w:r>
    </w:p>
    <w:p>
      <w:pPr>
        <w:spacing w:after="0" w:line="225" w:lineRule="exact"/>
        <w:rPr>
          <w:rFonts w:ascii="Arial" w:cs="Arial" w:eastAsia="Arial" w:hAnsi="Arial"/>
          <w:sz w:val="18"/>
          <w:szCs w:val="18"/>
          <w:color w:val="auto"/>
        </w:rPr>
      </w:pPr>
    </w:p>
    <w:p>
      <w:pPr>
        <w:jc w:val="both"/>
        <w:ind w:left="-20" w:firstLine="1045"/>
        <w:spacing w:after="0" w:line="257" w:lineRule="auto"/>
        <w:tabs>
          <w:tab w:leader="none" w:pos="1619"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88" w:lineRule="exact"/>
        <w:rPr>
          <w:rFonts w:ascii="Arial" w:cs="Arial" w:eastAsia="Arial" w:hAnsi="Arial"/>
          <w:sz w:val="18"/>
          <w:szCs w:val="18"/>
          <w:color w:val="auto"/>
        </w:rPr>
      </w:pPr>
    </w:p>
    <w:p>
      <w:pPr>
        <w:jc w:val="both"/>
        <w:ind w:left="-20" w:firstLine="1045"/>
        <w:spacing w:after="0" w:line="25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88" w:lineRule="exact"/>
        <w:rPr>
          <w:rFonts w:ascii="Arial" w:cs="Arial" w:eastAsia="Arial" w:hAnsi="Arial"/>
          <w:sz w:val="18"/>
          <w:szCs w:val="18"/>
          <w:color w:val="auto"/>
        </w:rPr>
      </w:pPr>
    </w:p>
    <w:p>
      <w:pPr>
        <w:jc w:val="both"/>
        <w:ind w:left="-20" w:firstLine="1045"/>
        <w:spacing w:after="0" w:line="264" w:lineRule="auto"/>
        <w:tabs>
          <w:tab w:leader="none" w:pos="15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 w:name="page13"/>
    <w:bookmarkEnd w:id="12"/>
    <w:p>
      <w:pPr>
        <w:jc w:val="both"/>
        <w:ind w:left="1040"/>
        <w:spacing w:after="0" w:line="270" w:lineRule="auto"/>
        <w:rPr>
          <w:sz w:val="20"/>
          <w:szCs w:val="20"/>
          <w:color w:val="auto"/>
        </w:rPr>
      </w:pPr>
      <w:r>
        <w:rPr>
          <w:rFonts w:ascii="Arial" w:cs="Arial" w:eastAsia="Arial" w:hAnsi="Arial"/>
          <w:sz w:val="17"/>
          <w:szCs w:val="17"/>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78" w:lineRule="exact"/>
        <w:rPr>
          <w:sz w:val="20"/>
          <w:szCs w:val="20"/>
          <w:color w:val="auto"/>
        </w:rPr>
      </w:pPr>
    </w:p>
    <w:p>
      <w:pPr>
        <w:jc w:val="both"/>
        <w:ind w:left="-20" w:firstLine="527"/>
        <w:spacing w:after="0" w:line="259" w:lineRule="auto"/>
        <w:tabs>
          <w:tab w:leader="none" w:pos="10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86" w:lineRule="exact"/>
        <w:rPr>
          <w:rFonts w:ascii="Arial" w:cs="Arial" w:eastAsia="Arial" w:hAnsi="Arial"/>
          <w:sz w:val="18"/>
          <w:szCs w:val="18"/>
          <w:color w:val="auto"/>
        </w:rPr>
      </w:pPr>
    </w:p>
    <w:p>
      <w:pPr>
        <w:jc w:val="both"/>
        <w:ind w:left="-20" w:firstLine="527"/>
        <w:spacing w:after="0" w:line="259" w:lineRule="auto"/>
        <w:tabs>
          <w:tab w:leader="none" w:pos="10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6" w:lineRule="exact"/>
        <w:rPr>
          <w:rFonts w:ascii="Arial" w:cs="Arial" w:eastAsia="Arial" w:hAnsi="Arial"/>
          <w:sz w:val="18"/>
          <w:szCs w:val="18"/>
          <w:color w:val="auto"/>
        </w:rPr>
      </w:pPr>
    </w:p>
    <w:p>
      <w:pPr>
        <w:jc w:val="both"/>
        <w:ind w:left="-20" w:right="20" w:firstLine="527"/>
        <w:spacing w:after="0" w:line="264" w:lineRule="auto"/>
        <w:tabs>
          <w:tab w:leader="none" w:pos="11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81" w:lineRule="exact"/>
        <w:rPr>
          <w:rFonts w:ascii="Arial" w:cs="Arial" w:eastAsia="Arial" w:hAnsi="Arial"/>
          <w:sz w:val="18"/>
          <w:szCs w:val="18"/>
          <w:color w:val="auto"/>
        </w:rPr>
      </w:pPr>
    </w:p>
    <w:p>
      <w:pPr>
        <w:ind w:left="1040" w:hanging="533"/>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TRANSFERS; EXCHANGES.</w:t>
      </w:r>
    </w:p>
    <w:p>
      <w:pPr>
        <w:spacing w:after="0" w:line="225" w:lineRule="exact"/>
        <w:rPr>
          <w:rFonts w:ascii="Arial" w:cs="Arial" w:eastAsia="Arial" w:hAnsi="Arial"/>
          <w:sz w:val="18"/>
          <w:szCs w:val="18"/>
          <w:color w:val="auto"/>
        </w:rPr>
      </w:pPr>
    </w:p>
    <w:p>
      <w:pPr>
        <w:jc w:val="both"/>
        <w:ind w:left="-20" w:firstLine="1045"/>
        <w:spacing w:after="0" w:line="288" w:lineRule="auto"/>
        <w:tabs>
          <w:tab w:leader="none" w:pos="1632"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Subject to compliance with applicable federal and state securities laws and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6"/>
          <w:szCs w:val="16"/>
          <w:b w:val="1"/>
          <w:bCs w:val="1"/>
          <w:color w:val="auto"/>
        </w:rPr>
        <w:t>Permitted Transfer</w:t>
      </w:r>
      <w:r>
        <w:rPr>
          <w:rFonts w:ascii="Arial" w:cs="Arial" w:eastAsia="Arial" w:hAnsi="Arial"/>
          <w:sz w:val="16"/>
          <w:szCs w:val="16"/>
          <w:color w:val="auto"/>
        </w:rPr>
        <w:t xml:space="preserve">”). For a transfer of this Warrant as an entirety by the Warrantholder, upon surrender of this Warrant to the Company, together with the Notice of Assignment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6"/>
          <w:szCs w:val="16"/>
          <w:b w:val="1"/>
          <w:bCs w:val="1"/>
          <w:color w:val="auto"/>
        </w:rPr>
        <w:t>Affiliate</w:t>
      </w:r>
      <w:r>
        <w:rPr>
          <w:rFonts w:ascii="Arial" w:cs="Arial" w:eastAsia="Arial" w:hAnsi="Arial"/>
          <w:sz w:val="16"/>
          <w:szCs w:val="16"/>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3" w:name="page14"/>
    <w:bookmarkEnd w:id="13"/>
    <w:p>
      <w:pPr>
        <w:jc w:val="both"/>
        <w:ind w:left="-20" w:firstLine="1045"/>
        <w:spacing w:after="0" w:line="255" w:lineRule="auto"/>
        <w:tabs>
          <w:tab w:leader="none" w:pos="15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8"/>
          <w:szCs w:val="18"/>
          <w:b w:val="1"/>
          <w:bCs w:val="1"/>
          <w:color w:val="auto"/>
        </w:rPr>
        <w:t>Warrants</w:t>
      </w:r>
      <w:r>
        <w:rPr>
          <w:rFonts w:ascii="Arial" w:cs="Arial" w:eastAsia="Arial" w:hAnsi="Arial"/>
          <w:sz w:val="18"/>
          <w:szCs w:val="18"/>
          <w:color w:val="auto"/>
        </w:rPr>
        <w:t>” as used herein includes any warrants into which this Warrant may be divided or exchanged.</w:t>
      </w:r>
    </w:p>
    <w:p>
      <w:pPr>
        <w:spacing w:after="0" w:line="193" w:lineRule="exact"/>
        <w:rPr>
          <w:rFonts w:ascii="Arial" w:cs="Arial" w:eastAsia="Arial" w:hAnsi="Arial"/>
          <w:sz w:val="18"/>
          <w:szCs w:val="18"/>
          <w:color w:val="auto"/>
        </w:rPr>
      </w:pPr>
    </w:p>
    <w:p>
      <w:pPr>
        <w:jc w:val="both"/>
        <w:ind w:left="-20" w:firstLine="527"/>
        <w:spacing w:after="0" w:line="289" w:lineRule="auto"/>
        <w:tabs>
          <w:tab w:leader="none" w:pos="107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6" w:lineRule="exact"/>
        <w:rPr>
          <w:rFonts w:ascii="Arial" w:cs="Arial" w:eastAsia="Arial" w:hAnsi="Arial"/>
          <w:sz w:val="16"/>
          <w:szCs w:val="16"/>
          <w:color w:val="auto"/>
        </w:rPr>
      </w:pPr>
    </w:p>
    <w:p>
      <w:pPr>
        <w:ind w:left="1040" w:hanging="533"/>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left="-20" w:firstLine="1045"/>
        <w:spacing w:after="0" w:line="259" w:lineRule="auto"/>
        <w:tabs>
          <w:tab w:leader="none" w:pos="15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4" w:name="page15"/>
    <w:bookmarkEnd w:id="14"/>
    <w:p>
      <w:pPr>
        <w:jc w:val="both"/>
        <w:ind w:firstLine="1045"/>
        <w:spacing w:after="0" w:line="272" w:lineRule="auto"/>
        <w:tabs>
          <w:tab w:leader="none" w:pos="17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50 North Laura Street, Suite 2500, Jacksonville, FL 32202 Attn: Mr. Glynn Wilson, Ph.D., e-mail: gwilson@tapimmune.com;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w:t>
      </w:r>
    </w:p>
    <w:p>
      <w:pPr>
        <w:spacing w:after="0" w:line="177" w:lineRule="exact"/>
        <w:rPr>
          <w:rFonts w:ascii="Arial" w:cs="Arial" w:eastAsia="Arial" w:hAnsi="Arial"/>
          <w:sz w:val="17"/>
          <w:szCs w:val="17"/>
          <w:color w:val="auto"/>
        </w:rPr>
      </w:pPr>
    </w:p>
    <w:p>
      <w:pPr>
        <w:ind w:left="1560" w:hanging="515"/>
        <w:spacing w:after="0"/>
        <w:tabs>
          <w:tab w:leader="none" w:pos="1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invalidity or unenforceability of any provision hereof shall in no way affect the validity or enforceability of any other provisions.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 WITNESS WHEREOF, this Common Stock Purchase Warrant is issued effective as of the date first set forth above.</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Mr. Glynn Wilson, Ph.D</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No. 2016PIPE--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426720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60" w:top="90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signed only upon exercise of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TapImmune Inc.</w:t>
      </w:r>
    </w:p>
    <w:p>
      <w:pPr>
        <w:spacing w:after="0" w:line="225" w:lineRule="exact"/>
        <w:rPr>
          <w:sz w:val="20"/>
          <w:szCs w:val="20"/>
          <w:color w:val="auto"/>
        </w:rPr>
      </w:pPr>
    </w:p>
    <w:p>
      <w:pPr>
        <w:jc w:val="both"/>
        <w:ind w:firstLine="519"/>
        <w:spacing w:after="0" w:line="308" w:lineRule="auto"/>
        <w:rPr>
          <w:sz w:val="20"/>
          <w:szCs w:val="20"/>
          <w:color w:val="auto"/>
        </w:rPr>
      </w:pPr>
      <w:r>
        <w:rPr>
          <w:rFonts w:ascii="Arial" w:cs="Arial" w:eastAsia="Arial" w:hAnsi="Arial"/>
          <w:sz w:val="17"/>
          <w:szCs w:val="17"/>
          <w:color w:val="auto"/>
        </w:rPr>
        <w:t>The undersigned, the Warrantholder of the attached Warrant, hereby irrevocably elects to exercise the purchase right represented by such Warrant for, and to purchase thereunder, __________________________ (________) shares of Common Stock of TapImmune Inc. and (choose one)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__________ herewith makes payment of ___________________________ Dollars ($_________) thereof</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__________ elects to Net Exercise the Warrant pursuant to </w:t>
      </w:r>
      <w:r>
        <w:rPr>
          <w:rFonts w:ascii="Arial" w:cs="Arial" w:eastAsia="Arial" w:hAnsi="Arial"/>
          <w:sz w:val="18"/>
          <w:szCs w:val="18"/>
          <w:u w:val="single" w:color="auto"/>
          <w:color w:val="auto"/>
        </w:rPr>
        <w:t>Section 1(b)(2)</w:t>
      </w:r>
      <w:r>
        <w:rPr>
          <w:rFonts w:ascii="Arial" w:cs="Arial" w:eastAsia="Arial" w:hAnsi="Arial"/>
          <w:sz w:val="18"/>
          <w:szCs w:val="18"/>
          <w:color w:val="auto"/>
        </w:rPr>
        <w:t xml:space="preserve"> thereof.</w:t>
      </w:r>
    </w:p>
    <w:p>
      <w:pPr>
        <w:spacing w:after="0" w:line="225" w:lineRule="exact"/>
        <w:rPr>
          <w:sz w:val="20"/>
          <w:szCs w:val="20"/>
          <w:color w:val="auto"/>
        </w:rPr>
      </w:pPr>
    </w:p>
    <w:p>
      <w:pPr>
        <w:ind w:right="320" w:firstLine="519"/>
        <w:spacing w:after="0" w:line="258" w:lineRule="auto"/>
        <w:rPr>
          <w:sz w:val="20"/>
          <w:szCs w:val="20"/>
          <w:color w:val="auto"/>
        </w:rPr>
      </w:pPr>
      <w:r>
        <w:rPr>
          <w:rFonts w:ascii="Arial" w:cs="Arial" w:eastAsia="Arial" w:hAnsi="Arial"/>
          <w:sz w:val="18"/>
          <w:szCs w:val="18"/>
          <w:color w:val="auto"/>
        </w:rPr>
        <w:t>The undersigned requests that the certificates or book entry position evidencing the shares to be acquired pursuant to such exercise be issued in the name of, and delivered to __________________________________________, whose address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11"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 must conform in all respects to name of the Warrantholder as</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specified on the face of the Warrant)</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142875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5715</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ASSIGNMENT FORM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VALUE RECEIVED, [_________] (the “</w:t>
      </w:r>
      <w:r>
        <w:rPr>
          <w:rFonts w:ascii="Arial" w:cs="Arial" w:eastAsia="Arial" w:hAnsi="Arial"/>
          <w:sz w:val="17"/>
          <w:szCs w:val="17"/>
          <w:u w:val="single" w:color="auto"/>
          <w:color w:val="auto"/>
        </w:rPr>
        <w:t>Assignor</w:t>
      </w:r>
      <w:r>
        <w:rPr>
          <w:rFonts w:ascii="Arial" w:cs="Arial" w:eastAsia="Arial" w:hAnsi="Arial"/>
          <w:sz w:val="17"/>
          <w:szCs w:val="17"/>
          <w:color w:val="auto"/>
        </w:rPr>
        <w:t>”) hereby sells, assigns and transfers all of the rights of the undersigned Assignor under the</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attached Warrant with respect to the number of shares of common stock of TapImmune Inc. (the “</w:t>
      </w:r>
      <w:r>
        <w:rPr>
          <w:rFonts w:ascii="Arial" w:cs="Arial" w:eastAsia="Arial" w:hAnsi="Arial"/>
          <w:sz w:val="16"/>
          <w:szCs w:val="16"/>
          <w:u w:val="single" w:color="auto"/>
          <w:color w:val="auto"/>
        </w:rPr>
        <w:t>Company</w:t>
      </w:r>
      <w:r>
        <w:rPr>
          <w:rFonts w:ascii="Arial" w:cs="Arial" w:eastAsia="Arial" w:hAnsi="Arial"/>
          <w:sz w:val="16"/>
          <w:szCs w:val="16"/>
          <w:color w:val="auto"/>
        </w:rPr>
        <w:t>”) covered thereby set forth below, to the following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and, in connection with such transfer, represents and warrants to the Company that the transfer is in compliance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3"/>
          </w:tcPr>
          <w:p>
            <w:pPr>
              <w:spacing w:after="0"/>
              <w:rPr>
                <w:sz w:val="20"/>
                <w:szCs w:val="20"/>
                <w:color w:val="auto"/>
              </w:rPr>
            </w:pPr>
            <w:r>
              <w:rPr>
                <w:rFonts w:ascii="Arial" w:cs="Arial" w:eastAsia="Arial" w:hAnsi="Arial"/>
                <w:sz w:val="18"/>
                <w:szCs w:val="18"/>
                <w:color w:val="auto"/>
                <w:w w:val="92"/>
              </w:rPr>
              <w:t>Warrant and applicable federal and state securities laws:</w:t>
            </w: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18"/>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NAME OF ASSIGNEE</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ind w:left="800"/>
              <w:spacing w:after="0"/>
              <w:rPr>
                <w:sz w:val="20"/>
                <w:szCs w:val="20"/>
                <w:color w:val="auto"/>
              </w:rPr>
            </w:pPr>
            <w:r>
              <w:rPr>
                <w:rFonts w:ascii="Arial" w:cs="Arial" w:eastAsia="Arial" w:hAnsi="Arial"/>
                <w:sz w:val="18"/>
                <w:szCs w:val="18"/>
                <w:color w:val="auto"/>
              </w:rPr>
              <w:t>ADDRESS/FAX NUMBER</w:t>
            </w:r>
          </w:p>
        </w:tc>
      </w:tr>
      <w:tr>
        <w:trPr>
          <w:trHeight w:val="432"/>
        </w:trPr>
        <w:tc>
          <w:tcPr>
            <w:tcW w:w="172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2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Dated:</w:t>
            </w:r>
          </w:p>
        </w:tc>
        <w:tc>
          <w:tcPr>
            <w:tcW w:w="338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Pr>
          <w:p>
            <w:pPr>
              <w:ind w:left="460"/>
              <w:spacing w:after="0"/>
              <w:rPr>
                <w:sz w:val="20"/>
                <w:szCs w:val="20"/>
                <w:color w:val="auto"/>
              </w:rPr>
            </w:pPr>
            <w:r>
              <w:rPr>
                <w:rFonts w:ascii="Arial" w:cs="Arial" w:eastAsia="Arial" w:hAnsi="Arial"/>
                <w:sz w:val="18"/>
                <w:szCs w:val="18"/>
                <w:color w:val="auto"/>
              </w:rPr>
              <w:t>Signature:</w:t>
            </w:r>
          </w:p>
        </w:tc>
        <w:tc>
          <w:tcPr>
            <w:tcW w:w="4560" w:type="dxa"/>
            <w:vAlign w:val="bottom"/>
            <w:tcBorders>
              <w:bottom w:val="single" w:sz="8" w:color="auto"/>
            </w:tcBorders>
          </w:tcPr>
          <w:p>
            <w:pPr>
              <w:spacing w:after="0"/>
              <w:rPr>
                <w:sz w:val="24"/>
                <w:szCs w:val="24"/>
                <w:color w:val="auto"/>
              </w:rPr>
            </w:pPr>
          </w:p>
        </w:tc>
      </w:tr>
      <w:tr>
        <w:trPr>
          <w:trHeight w:val="426"/>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ind w:left="460"/>
              <w:spacing w:after="0"/>
              <w:rPr>
                <w:sz w:val="20"/>
                <w:szCs w:val="20"/>
                <w:color w:val="auto"/>
              </w:rPr>
            </w:pPr>
            <w:r>
              <w:rPr>
                <w:rFonts w:ascii="Arial" w:cs="Arial" w:eastAsia="Arial" w:hAnsi="Arial"/>
                <w:sz w:val="18"/>
                <w:szCs w:val="18"/>
                <w:color w:val="auto"/>
              </w:rPr>
              <w:t>Witness:</w:t>
            </w:r>
          </w:p>
        </w:tc>
        <w:tc>
          <w:tcPr>
            <w:tcW w:w="4560" w:type="dxa"/>
            <w:vAlign w:val="bottom"/>
            <w:tcBorders>
              <w:bottom w:val="single" w:sz="8" w:color="auto"/>
            </w:tcBorders>
          </w:tcPr>
          <w:p>
            <w:pPr>
              <w:spacing w:after="0"/>
              <w:rPr>
                <w:sz w:val="24"/>
                <w:szCs w:val="24"/>
                <w:color w:val="auto"/>
              </w:rPr>
            </w:pPr>
          </w:p>
        </w:tc>
      </w:tr>
      <w:tr>
        <w:trPr>
          <w:trHeight w:val="426"/>
        </w:trPr>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color w:val="auto"/>
              </w:rPr>
              <w:t>ASSIGNEE ACKNOWLEDGMENT</w:t>
            </w:r>
          </w:p>
        </w:tc>
      </w:tr>
    </w:tbl>
    <w:p>
      <w:pPr>
        <w:spacing w:after="0" w:line="202"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1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BROKER WARRANT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20"/>
          </w:cols>
          <w:pgMar w:left="240" w:top="337"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WARRANT NO.: 2017PIPE-[__]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DATE OF ISSUANCE: [_______________], 2017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[____________], 2022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NUMBER OF SHARES: [_________]</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to adjustment hereunder)</w:t>
      </w:r>
    </w:p>
    <w:p>
      <w:pPr>
        <w:spacing w:after="0" w:line="416" w:lineRule="exact"/>
        <w:rPr>
          <w:sz w:val="20"/>
          <w:szCs w:val="20"/>
          <w:color w:val="auto"/>
        </w:rPr>
      </w:pPr>
    </w:p>
    <w:p>
      <w:pPr>
        <w:sectPr>
          <w:pgSz w:w="11900" w:h="16838" w:orient="portrait"/>
          <w:cols w:equalWidth="0" w:num="2">
            <w:col w:w="7840" w:space="720"/>
            <w:col w:w="2860"/>
          </w:cols>
          <w:pgMar w:left="240" w:top="337" w:right="239" w:bottom="1440" w:gutter="0" w:footer="0" w:header="0"/>
          <w:type w:val="continuous"/>
        </w:sectPr>
      </w:pP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WARRANT TO PURCHASE SHARES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COMMON STOCK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ectPr>
          <w:pgSz w:w="11900" w:h="16838" w:orient="portrait"/>
          <w:cols w:equalWidth="0" w:num="1">
            <w:col w:w="11420"/>
          </w:cols>
          <w:pgMar w:left="240" w:top="337" w:right="239" w:bottom="1440" w:gutter="0" w:footer="0" w:header="0"/>
          <w:type w:val="continuous"/>
        </w:sect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Warrant is issued to [____________________], or its registered assigns (including any successors or assigns, the “</w:t>
      </w:r>
      <w:r>
        <w:rPr>
          <w:rFonts w:ascii="Arial" w:cs="Arial" w:eastAsia="Arial" w:hAnsi="Arial"/>
          <w:sz w:val="16"/>
          <w:szCs w:val="16"/>
          <w:b w:val="1"/>
          <w:bCs w:val="1"/>
          <w:color w:val="auto"/>
        </w:rPr>
        <w:t>Warrantholder</w:t>
      </w:r>
      <w:r>
        <w:rPr>
          <w:rFonts w:ascii="Arial" w:cs="Arial" w:eastAsia="Arial" w:hAnsi="Arial"/>
          <w:sz w:val="16"/>
          <w:szCs w:val="16"/>
          <w:color w:val="auto"/>
        </w:rPr>
        <w:t>”), which 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hereby acknowledged by TapImmune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1" w:lineRule="exact"/>
        <w:rPr>
          <w:sz w:val="20"/>
          <w:szCs w:val="20"/>
          <w:color w:val="auto"/>
        </w:rPr>
      </w:pPr>
    </w:p>
    <w:p>
      <w:pPr>
        <w:ind w:left="1120" w:hanging="593"/>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OF WARRANT.</w:t>
      </w:r>
    </w:p>
    <w:p>
      <w:pPr>
        <w:spacing w:after="0" w:line="225" w:lineRule="exact"/>
        <w:rPr>
          <w:rFonts w:ascii="Arial" w:cs="Arial" w:eastAsia="Arial" w:hAnsi="Arial"/>
          <w:sz w:val="18"/>
          <w:szCs w:val="18"/>
          <w:color w:val="auto"/>
        </w:rPr>
      </w:pPr>
    </w:p>
    <w:p>
      <w:pPr>
        <w:jc w:val="both"/>
        <w:ind w:firstLine="1045"/>
        <w:spacing w:after="0" w:line="257" w:lineRule="auto"/>
        <w:tabs>
          <w:tab w:leader="none" w:pos="162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Number and Exercise Price of Warrant Shares; Expiration Date</w:t>
      </w:r>
      <w:r>
        <w:rPr>
          <w:rFonts w:ascii="Arial" w:cs="Arial" w:eastAsia="Arial" w:hAnsi="Arial"/>
          <w:sz w:val="18"/>
          <w:szCs w:val="18"/>
          <w:color w:val="auto"/>
        </w:rPr>
        <w:t>. Subject to the terms and conditions set forth herein, the Warrantholder is entitled to purchase from the Company up to [_______________] shares of the Company’s Common Stock, $0.001 par value per share (the “</w:t>
      </w:r>
      <w:r>
        <w:rPr>
          <w:rFonts w:ascii="Arial" w:cs="Arial" w:eastAsia="Arial" w:hAnsi="Arial"/>
          <w:sz w:val="18"/>
          <w:szCs w:val="18"/>
          <w:b w:val="1"/>
          <w:b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(as adjusted from time to time pursuant to the provisions of this Warrant) (the “</w:t>
      </w:r>
      <w:r>
        <w:rPr>
          <w:rFonts w:ascii="Arial" w:cs="Arial" w:eastAsia="Arial" w:hAnsi="Arial"/>
          <w:sz w:val="18"/>
          <w:szCs w:val="18"/>
          <w:b w:val="1"/>
          <w:bCs w:val="1"/>
          <w:color w:val="auto"/>
        </w:rPr>
        <w:t>Warrant Shares</w:t>
      </w:r>
      <w:r>
        <w:rPr>
          <w:rFonts w:ascii="Arial" w:cs="Arial" w:eastAsia="Arial" w:hAnsi="Arial"/>
          <w:sz w:val="18"/>
          <w:szCs w:val="18"/>
          <w:color w:val="auto"/>
        </w:rPr>
        <w:t>”), at a purchase price of $[______] per share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on or before 5:00 p.m. New York City time on the fifth anniversary of the Date of Issuance (the “</w:t>
      </w:r>
      <w:r>
        <w:rPr>
          <w:rFonts w:ascii="Arial" w:cs="Arial" w:eastAsia="Arial" w:hAnsi="Arial"/>
          <w:sz w:val="18"/>
          <w:szCs w:val="18"/>
          <w:b w:val="1"/>
          <w:bCs w:val="1"/>
          <w:color w:val="auto"/>
        </w:rPr>
        <w:t>Expiration Date</w:t>
      </w:r>
      <w:r>
        <w:rPr>
          <w:rFonts w:ascii="Arial" w:cs="Arial" w:eastAsia="Arial" w:hAnsi="Arial"/>
          <w:sz w:val="18"/>
          <w:szCs w:val="18"/>
          <w:color w:val="auto"/>
        </w:rPr>
        <w:t>”) (subject to earlier termination of this Warrant as set forth herein).</w:t>
      </w:r>
    </w:p>
    <w:p>
      <w:pPr>
        <w:spacing w:after="0" w:line="188" w:lineRule="exact"/>
        <w:rPr>
          <w:rFonts w:ascii="Arial" w:cs="Arial" w:eastAsia="Arial" w:hAnsi="Arial"/>
          <w:sz w:val="18"/>
          <w:szCs w:val="18"/>
          <w:color w:val="auto"/>
        </w:rPr>
      </w:pPr>
    </w:p>
    <w:p>
      <w:pPr>
        <w:ind w:firstLine="1045"/>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While this Warrant remains outstanding and exercisable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above, the Warrantholder may exercise this Warrant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herein, by either:</w:t>
      </w:r>
    </w:p>
    <w:p>
      <w:pPr>
        <w:spacing w:after="0" w:line="170" w:lineRule="exact"/>
        <w:rPr>
          <w:rFonts w:ascii="Arial" w:cs="Arial" w:eastAsia="Arial" w:hAnsi="Arial"/>
          <w:sz w:val="18"/>
          <w:szCs w:val="18"/>
          <w:color w:val="auto"/>
        </w:rPr>
      </w:pPr>
    </w:p>
    <w:p>
      <w:pPr>
        <w:ind w:left="2180" w:hanging="616"/>
        <w:spacing w:after="0"/>
        <w:tabs>
          <w:tab w:leader="none" w:pos="2180" w:val="left"/>
        </w:tabs>
        <w:numPr>
          <w:ilvl w:val="2"/>
          <w:numId w:val="17"/>
        </w:numPr>
        <w:rPr>
          <w:rFonts w:ascii="Arial" w:cs="Arial" w:eastAsia="Arial" w:hAnsi="Arial"/>
          <w:sz w:val="16"/>
          <w:szCs w:val="16"/>
          <w:color w:val="auto"/>
        </w:rPr>
      </w:pPr>
      <w:r>
        <w:rPr>
          <w:rFonts w:ascii="Arial" w:cs="Arial" w:eastAsia="Arial" w:hAnsi="Arial"/>
          <w:sz w:val="16"/>
          <w:szCs w:val="16"/>
          <w:color w:val="auto"/>
        </w:rPr>
        <w:t>wire transfer to the Company or cashier’s check drawn on a United States bank made payable to the order of the Company, or</w:t>
      </w:r>
    </w:p>
    <w:p>
      <w:pPr>
        <w:spacing w:after="0" w:line="248" w:lineRule="exact"/>
        <w:rPr>
          <w:rFonts w:ascii="Arial" w:cs="Arial" w:eastAsia="Arial" w:hAnsi="Arial"/>
          <w:sz w:val="16"/>
          <w:szCs w:val="16"/>
          <w:color w:val="auto"/>
        </w:rPr>
      </w:pPr>
    </w:p>
    <w:p>
      <w:pPr>
        <w:ind w:firstLine="1564"/>
        <w:spacing w:after="0" w:line="277" w:lineRule="auto"/>
        <w:tabs>
          <w:tab w:leader="none" w:pos="219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exercising of the right to credit the Exercise Price against the Fair Market Value of the Warrant Shares (as defined below) at the time of exercise (the “</w:t>
      </w:r>
      <w:r>
        <w:rPr>
          <w:rFonts w:ascii="Arial" w:cs="Arial" w:eastAsia="Arial" w:hAnsi="Arial"/>
          <w:sz w:val="18"/>
          <w:szCs w:val="18"/>
          <w:b w:val="1"/>
          <w:bCs w:val="1"/>
          <w:color w:val="auto"/>
        </w:rPr>
        <w:t>Net Exercise</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1(c)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19" w:name="page20"/>
    <w:bookmarkEnd w:id="19"/>
    <w:p>
      <w:pPr>
        <w:jc w:val="both"/>
        <w:ind w:firstLine="648"/>
        <w:spacing w:after="0" w:line="293" w:lineRule="auto"/>
        <w:rPr>
          <w:sz w:val="20"/>
          <w:szCs w:val="20"/>
          <w:color w:val="auto"/>
        </w:rPr>
      </w:pPr>
      <w:r>
        <w:rPr>
          <w:rFonts w:ascii="Arial" w:cs="Arial" w:eastAsia="Arial" w:hAnsi="Arial"/>
          <w:sz w:val="16"/>
          <w:szCs w:val="16"/>
          <w:color w:val="auto"/>
        </w:rPr>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65" w:lineRule="exact"/>
        <w:rPr>
          <w:sz w:val="20"/>
          <w:szCs w:val="20"/>
          <w:color w:val="auto"/>
        </w:rPr>
      </w:pPr>
    </w:p>
    <w:p>
      <w:pPr>
        <w:jc w:val="both"/>
        <w:ind w:firstLine="1045"/>
        <w:spacing w:after="0" w:line="264" w:lineRule="auto"/>
        <w:tabs>
          <w:tab w:leader="none" w:pos="162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Net Exercise</w:t>
      </w:r>
      <w:r>
        <w:rPr>
          <w:rFonts w:ascii="Arial" w:cs="Arial" w:eastAsia="Arial" w:hAnsi="Arial"/>
          <w:sz w:val="18"/>
          <w:szCs w:val="18"/>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124460</wp:posOffset>
            </wp:positionV>
            <wp:extent cx="780415"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8041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20"/>
          </w:cols>
          <w:pgMar w:left="240" w:top="908" w:right="239" w:bottom="1440" w:gutter="0" w:footer="0" w:header="0"/>
        </w:sectPr>
      </w:pP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X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The number of Warrant Shares to be issued to the Warrantholder.</w:t>
      </w:r>
    </w:p>
    <w:p>
      <w:pPr>
        <w:spacing w:after="0" w:line="234" w:lineRule="exact"/>
        <w:rPr>
          <w:sz w:val="20"/>
          <w:szCs w:val="20"/>
          <w:color w:val="auto"/>
        </w:rPr>
      </w:pPr>
    </w:p>
    <w:p>
      <w:pPr>
        <w:sectPr>
          <w:pgSz w:w="11900" w:h="16838" w:orient="portrait"/>
          <w:cols w:equalWidth="0" w:num="2">
            <w:col w:w="1580" w:space="720"/>
            <w:col w:w="9120"/>
          </w:cols>
          <w:pgMar w:left="240" w:top="908" w:right="239" w:bottom="1440" w:gutter="0" w:footer="0" w:header="0"/>
          <w:type w:val="continuous"/>
        </w:sectPr>
      </w:pPr>
    </w:p>
    <w:p>
      <w:pPr>
        <w:spacing w:after="0" w:line="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Y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Warrant Shares purchasable under this Warrant or, if only a portion of the Warrant is being exercised, the portion of the Warrant being cancelled (at the date of such calculation).</w:t>
      </w:r>
    </w:p>
    <w:p>
      <w:pPr>
        <w:spacing w:after="0" w:line="170" w:lineRule="exact"/>
        <w:rPr>
          <w:sz w:val="20"/>
          <w:szCs w:val="20"/>
          <w:color w:val="auto"/>
        </w:rPr>
      </w:pPr>
    </w:p>
    <w:p>
      <w:pPr>
        <w:sectPr>
          <w:pgSz w:w="11900" w:h="16838" w:orient="portrait"/>
          <w:cols w:equalWidth="0" w:num="2">
            <w:col w:w="1580" w:space="720"/>
            <w:col w:w="9120"/>
          </w:cols>
          <w:pgMar w:left="240" w:top="908" w:right="23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A =</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Fair Market Value of one (1) share of Common Stock on the trading date immediately preceding the date on which Warrantholder elects to exercise this Warrant.</w:t>
      </w:r>
    </w:p>
    <w:p>
      <w:pPr>
        <w:spacing w:after="0" w:line="170" w:lineRule="exact"/>
        <w:rPr>
          <w:sz w:val="20"/>
          <w:szCs w:val="20"/>
          <w:color w:val="auto"/>
        </w:rPr>
      </w:pPr>
    </w:p>
    <w:p>
      <w:pPr>
        <w:sectPr>
          <w:pgSz w:w="11900" w:h="16838" w:orient="portrait"/>
          <w:cols w:equalWidth="0" w:num="2">
            <w:col w:w="1580" w:space="720"/>
            <w:col w:w="9120"/>
          </w:cols>
          <w:pgMar w:left="240" w:top="908" w:right="23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Exercise Price (as adjusted hereunder).</w:t>
      </w:r>
    </w:p>
    <w:p>
      <w:pPr>
        <w:spacing w:after="0" w:line="211" w:lineRule="exact"/>
        <w:rPr>
          <w:sz w:val="20"/>
          <w:szCs w:val="20"/>
          <w:color w:val="auto"/>
        </w:rPr>
      </w:pPr>
    </w:p>
    <w:p>
      <w:pPr>
        <w:sectPr>
          <w:pgSz w:w="11900" w:h="16838" w:orient="portrait"/>
          <w:cols w:equalWidth="0" w:num="2">
            <w:col w:w="1580" w:space="720"/>
            <w:col w:w="9120"/>
          </w:cols>
          <w:pgMar w:left="240" w:top="908" w:right="239" w:bottom="1440" w:gutter="0" w:footer="0" w:header="0"/>
          <w:type w:val="continuous"/>
        </w:sectPr>
      </w:pPr>
    </w:p>
    <w:p>
      <w:pPr>
        <w:spacing w:after="0" w:line="44" w:lineRule="exact"/>
        <w:rPr>
          <w:sz w:val="20"/>
          <w:szCs w:val="20"/>
          <w:color w:val="auto"/>
        </w:rPr>
      </w:pPr>
    </w:p>
    <w:p>
      <w:pPr>
        <w:jc w:val="both"/>
        <w:ind w:firstLine="1037"/>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Arial" w:cs="Arial" w:eastAsia="Arial" w:hAnsi="Arial"/>
          <w:sz w:val="16"/>
          <w:szCs w:val="16"/>
          <w:b w:val="1"/>
          <w:bCs w:val="1"/>
          <w:color w:val="auto"/>
        </w:rPr>
        <w:t>Bloomberg</w:t>
      </w:r>
      <w:r>
        <w:rPr>
          <w:rFonts w:ascii="Arial" w:cs="Arial" w:eastAsia="Arial" w:hAnsi="Arial"/>
          <w:sz w:val="16"/>
          <w:szCs w:val="16"/>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0" w:name="page21"/>
    <w:bookmarkEnd w:id="20"/>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OTC Markets</w:t>
      </w:r>
      <w:r>
        <w:rPr>
          <w:rFonts w:ascii="Arial" w:cs="Arial" w:eastAsia="Arial" w:hAnsi="Arial"/>
          <w:sz w:val="18"/>
          <w:szCs w:val="18"/>
          <w:color w:val="auto"/>
        </w:rPr>
        <w:t>” shall mean either OTC QX or OTC QB of the OTC Markets Group, Inc.</w:t>
      </w:r>
    </w:p>
    <w:p>
      <w:pPr>
        <w:spacing w:after="0" w:line="225" w:lineRule="exact"/>
        <w:rPr>
          <w:sz w:val="20"/>
          <w:szCs w:val="20"/>
          <w:color w:val="auto"/>
        </w:rPr>
      </w:pPr>
    </w:p>
    <w:p>
      <w:pPr>
        <w:jc w:val="both"/>
        <w:ind w:firstLine="5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80" w:lineRule="exact"/>
        <w:rPr>
          <w:sz w:val="20"/>
          <w:szCs w:val="20"/>
          <w:color w:val="auto"/>
        </w:rPr>
      </w:pPr>
    </w:p>
    <w:p>
      <w:pPr>
        <w:jc w:val="both"/>
        <w:ind w:firstLine="1045"/>
        <w:spacing w:after="0" w:line="279" w:lineRule="auto"/>
        <w:tabs>
          <w:tab w:leader="none" w:pos="1701"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Deemed Exercise</w:t>
      </w:r>
      <w:r>
        <w:rPr>
          <w:rFonts w:ascii="Arial" w:cs="Arial" w:eastAsia="Arial" w:hAnsi="Arial"/>
          <w:sz w:val="17"/>
          <w:szCs w:val="17"/>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above) is greater than the then applicable Exercise Price, this Warrant shall be deemed to be automatically exercised on a net exercise issue basis pursuant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above, and the Company shall deliver the applicable number of Warrant Shares to the Warrantholder pursuant to the provisions of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above and this </w:t>
      </w:r>
      <w:r>
        <w:rPr>
          <w:rFonts w:ascii="Arial" w:cs="Arial" w:eastAsia="Arial" w:hAnsi="Arial"/>
          <w:sz w:val="17"/>
          <w:szCs w:val="17"/>
          <w:u w:val="single" w:color="auto"/>
          <w:color w:val="auto"/>
        </w:rPr>
        <w:t>Section 1(d)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120" w:hanging="593"/>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ADJUSTMENTS.</w:t>
      </w:r>
    </w:p>
    <w:p>
      <w:pPr>
        <w:spacing w:after="0" w:line="225" w:lineRule="exact"/>
        <w:rPr>
          <w:rFonts w:ascii="Arial" w:cs="Arial" w:eastAsia="Arial" w:hAnsi="Arial"/>
          <w:sz w:val="18"/>
          <w:szCs w:val="18"/>
          <w:color w:val="auto"/>
        </w:rPr>
      </w:pPr>
    </w:p>
    <w:p>
      <w:pPr>
        <w:ind w:firstLine="1045"/>
        <w:spacing w:after="0" w:line="277" w:lineRule="auto"/>
        <w:tabs>
          <w:tab w:leader="none" w:pos="1597"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Adjustment of Number of Warrant Shares and Exercise Price</w:t>
      </w:r>
      <w:r>
        <w:rPr>
          <w:rFonts w:ascii="Arial" w:cs="Arial" w:eastAsia="Arial" w:hAnsi="Arial"/>
          <w:sz w:val="18"/>
          <w:szCs w:val="18"/>
          <w:color w:val="auto"/>
        </w:rPr>
        <w:t>. The number and kind of Warrant Shares purchasable upon exercise of this Warrant and the Exercise Price shall be subject to adjustment from time to time as follows:</w:t>
      </w:r>
    </w:p>
    <w:p>
      <w:pPr>
        <w:spacing w:after="0" w:line="170" w:lineRule="exact"/>
        <w:rPr>
          <w:rFonts w:ascii="Arial" w:cs="Arial" w:eastAsia="Arial" w:hAnsi="Arial"/>
          <w:sz w:val="18"/>
          <w:szCs w:val="18"/>
          <w:color w:val="auto"/>
        </w:rPr>
      </w:pPr>
    </w:p>
    <w:p>
      <w:pPr>
        <w:jc w:val="both"/>
        <w:ind w:firstLine="1564"/>
        <w:spacing w:after="0" w:line="271" w:lineRule="auto"/>
        <w:tabs>
          <w:tab w:leader="none" w:pos="2251" w:val="left"/>
        </w:tabs>
        <w:numPr>
          <w:ilvl w:val="2"/>
          <w:numId w:val="20"/>
        </w:numPr>
        <w:rPr>
          <w:rFonts w:ascii="Arial" w:cs="Arial" w:eastAsia="Arial" w:hAnsi="Arial"/>
          <w:sz w:val="17"/>
          <w:szCs w:val="17"/>
          <w:color w:val="auto"/>
        </w:rPr>
      </w:pPr>
      <w:r>
        <w:rPr>
          <w:rFonts w:ascii="Arial" w:cs="Arial" w:eastAsia="Arial" w:hAnsi="Arial"/>
          <w:sz w:val="17"/>
          <w:szCs w:val="17"/>
          <w:u w:val="single" w:color="auto"/>
          <w:color w:val="auto"/>
        </w:rPr>
        <w:t>Subdivisions, Combinations and Other Issuances</w:t>
      </w:r>
      <w:r>
        <w:rPr>
          <w:rFonts w:ascii="Arial" w:cs="Arial" w:eastAsia="Arial" w:hAnsi="Arial"/>
          <w:sz w:val="17"/>
          <w:szCs w:val="17"/>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78" w:lineRule="exact"/>
        <w:rPr>
          <w:rFonts w:ascii="Arial" w:cs="Arial" w:eastAsia="Arial" w:hAnsi="Arial"/>
          <w:sz w:val="17"/>
          <w:szCs w:val="17"/>
          <w:color w:val="auto"/>
        </w:rPr>
      </w:pPr>
    </w:p>
    <w:p>
      <w:pPr>
        <w:jc w:val="both"/>
        <w:ind w:firstLine="1564"/>
        <w:spacing w:after="0" w:line="269" w:lineRule="auto"/>
        <w:tabs>
          <w:tab w:leader="none" w:pos="2319" w:val="left"/>
        </w:tabs>
        <w:numPr>
          <w:ilvl w:val="2"/>
          <w:numId w:val="20"/>
        </w:numPr>
        <w:rPr>
          <w:rFonts w:ascii="Arial" w:cs="Arial" w:eastAsia="Arial" w:hAnsi="Arial"/>
          <w:sz w:val="17"/>
          <w:szCs w:val="17"/>
          <w:color w:val="auto"/>
        </w:rPr>
      </w:pPr>
      <w:r>
        <w:rPr>
          <w:rFonts w:ascii="Arial" w:cs="Arial" w:eastAsia="Arial" w:hAnsi="Arial"/>
          <w:sz w:val="17"/>
          <w:szCs w:val="17"/>
          <w:u w:val="single" w:color="auto"/>
          <w:color w:val="auto"/>
        </w:rPr>
        <w:t>Reclassification, Reorganizations and Consolidation</w:t>
      </w:r>
      <w:r>
        <w:rPr>
          <w:rFonts w:ascii="Arial" w:cs="Arial" w:eastAsia="Arial" w:hAnsi="Arial"/>
          <w:sz w:val="17"/>
          <w:szCs w:val="17"/>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7"/>
          <w:szCs w:val="17"/>
          <w:u w:val="single" w:color="auto"/>
          <w:color w:val="auto"/>
        </w:rPr>
        <w:t>Section 2(a)(1)</w:t>
      </w:r>
      <w:r>
        <w:rPr>
          <w:rFonts w:ascii="Arial" w:cs="Arial" w:eastAsia="Arial" w:hAnsi="Arial"/>
          <w:sz w:val="17"/>
          <w:szCs w:val="17"/>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ind w:left="-8" w:firstLine="1045"/>
        <w:spacing w:after="0" w:line="272" w:lineRule="auto"/>
        <w:tabs>
          <w:tab w:leader="none" w:pos="1680"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Notice to Warrantholder</w:t>
      </w:r>
      <w:r>
        <w:rPr>
          <w:rFonts w:ascii="Arial" w:cs="Arial" w:eastAsia="Arial" w:hAnsi="Arial"/>
          <w:sz w:val="17"/>
          <w:szCs w:val="17"/>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77" w:lineRule="exact"/>
        <w:rPr>
          <w:rFonts w:ascii="Arial" w:cs="Arial" w:eastAsia="Arial" w:hAnsi="Arial"/>
          <w:sz w:val="17"/>
          <w:szCs w:val="17"/>
          <w:color w:val="auto"/>
        </w:rPr>
      </w:pPr>
    </w:p>
    <w:p>
      <w:pPr>
        <w:jc w:val="both"/>
        <w:ind w:left="-8" w:right="140" w:firstLine="1045"/>
        <w:spacing w:after="0" w:line="264" w:lineRule="auto"/>
        <w:tabs>
          <w:tab w:leader="none" w:pos="158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made to the nearest cent or the nearest whole share, as the case may be.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1612" w:hanging="575"/>
        <w:spacing w:after="0"/>
        <w:tabs>
          <w:tab w:leader="none" w:pos="161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Treatment of Warrant upon a Change of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1564"/>
        <w:spacing w:after="0" w:line="272" w:lineRule="auto"/>
        <w:tabs>
          <w:tab w:leader="none" w:pos="2207" w:val="left"/>
        </w:tabs>
        <w:numPr>
          <w:ilvl w:val="2"/>
          <w:numId w:val="21"/>
        </w:numPr>
        <w:rPr>
          <w:rFonts w:ascii="Arial" w:cs="Arial" w:eastAsia="Arial" w:hAnsi="Arial"/>
          <w:sz w:val="17"/>
          <w:szCs w:val="17"/>
          <w:color w:val="auto"/>
        </w:rPr>
      </w:pPr>
      <w:r>
        <w:rPr>
          <w:rFonts w:ascii="Arial" w:cs="Arial" w:eastAsia="Arial" w:hAnsi="Arial"/>
          <w:sz w:val="17"/>
          <w:szCs w:val="17"/>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7"/>
          <w:szCs w:val="17"/>
          <w:b w:val="1"/>
          <w:bCs w:val="1"/>
          <w:color w:val="auto"/>
        </w:rPr>
        <w:t>Alternate Consideration</w:t>
      </w:r>
      <w:r>
        <w:rPr>
          <w:rFonts w:ascii="Arial" w:cs="Arial" w:eastAsia="Arial" w:hAnsi="Arial"/>
          <w:sz w:val="17"/>
          <w:szCs w:val="17"/>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shall assume the obligation to deliver to the holder, such Alternate Consideration as, in accordance with the foregoing provisions, the holder may be entitled to purchase, and the other obligations under this Warrant.</w:t>
      </w:r>
    </w:p>
    <w:p>
      <w:pPr>
        <w:spacing w:after="0" w:line="173" w:lineRule="exact"/>
        <w:rPr>
          <w:rFonts w:ascii="Arial" w:cs="Arial" w:eastAsia="Arial" w:hAnsi="Arial"/>
          <w:sz w:val="17"/>
          <w:szCs w:val="17"/>
          <w:color w:val="auto"/>
        </w:rPr>
      </w:pPr>
    </w:p>
    <w:p>
      <w:pPr>
        <w:jc w:val="both"/>
        <w:ind w:left="-8" w:firstLine="1564"/>
        <w:spacing w:after="0" w:line="287" w:lineRule="auto"/>
        <w:tabs>
          <w:tab w:leader="none" w:pos="2363" w:val="left"/>
        </w:tabs>
        <w:numPr>
          <w:ilvl w:val="2"/>
          <w:numId w:val="21"/>
        </w:numPr>
        <w:rPr>
          <w:rFonts w:ascii="Arial" w:cs="Arial" w:eastAsia="Arial" w:hAnsi="Arial"/>
          <w:sz w:val="16"/>
          <w:szCs w:val="16"/>
          <w:color w:val="auto"/>
        </w:rPr>
      </w:pPr>
      <w:r>
        <w:rPr>
          <w:rFonts w:ascii="Arial" w:cs="Arial" w:eastAsia="Arial" w:hAnsi="Arial"/>
          <w:sz w:val="16"/>
          <w:szCs w:val="16"/>
          <w:color w:val="auto"/>
        </w:rPr>
        <w:t>As used in this Warrant, a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w:t>
      </w:r>
    </w:p>
    <w:p>
      <w:pPr>
        <w:spacing w:after="0" w:line="2" w:lineRule="exact"/>
        <w:rPr>
          <w:rFonts w:ascii="Arial" w:cs="Arial" w:eastAsia="Arial" w:hAnsi="Arial"/>
          <w:sz w:val="16"/>
          <w:szCs w:val="16"/>
          <w:color w:val="auto"/>
        </w:rPr>
      </w:pPr>
    </w:p>
    <w:p>
      <w:pPr>
        <w:jc w:val="both"/>
        <w:ind w:left="-8" w:firstLine="8"/>
        <w:spacing w:after="0" w:line="255" w:lineRule="auto"/>
        <w:tabs>
          <w:tab w:leader="none" w:pos="3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or “group” (as these terms are used for purposes of Section 13(d) and 14(d)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is or shall become the “beneficial owner” (as defined in Rule 13d-3 under the Exchange Act), directly or indirectly at least a majority of the voting power of the capital stock of the Company.</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2" w:name="page23"/>
    <w:bookmarkEnd w:id="22"/>
    <w:p>
      <w:pPr>
        <w:jc w:val="both"/>
        <w:ind w:left="-20" w:firstLine="527"/>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81" w:lineRule="exact"/>
        <w:rPr>
          <w:rFonts w:ascii="Arial" w:cs="Arial" w:eastAsia="Arial" w:hAnsi="Arial"/>
          <w:sz w:val="18"/>
          <w:szCs w:val="18"/>
          <w:color w:val="auto"/>
        </w:rPr>
      </w:pPr>
    </w:p>
    <w:p>
      <w:pPr>
        <w:jc w:val="both"/>
        <w:ind w:left="-20" w:firstLine="527"/>
        <w:spacing w:after="0" w:line="286" w:lineRule="auto"/>
        <w:tabs>
          <w:tab w:leader="none" w:pos="125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below.</w:t>
      </w:r>
    </w:p>
    <w:p>
      <w:pPr>
        <w:spacing w:after="0" w:line="165" w:lineRule="exact"/>
        <w:rPr>
          <w:rFonts w:ascii="Arial" w:cs="Arial" w:eastAsia="Arial" w:hAnsi="Arial"/>
          <w:sz w:val="17"/>
          <w:szCs w:val="17"/>
          <w:color w:val="auto"/>
        </w:rPr>
      </w:pPr>
    </w:p>
    <w:p>
      <w:pPr>
        <w:ind w:left="1100" w:hanging="59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MECHANICS OF EXERCISE.</w:t>
      </w:r>
    </w:p>
    <w:p>
      <w:pPr>
        <w:spacing w:after="0" w:line="225" w:lineRule="exact"/>
        <w:rPr>
          <w:rFonts w:ascii="Arial" w:cs="Arial" w:eastAsia="Arial" w:hAnsi="Arial"/>
          <w:sz w:val="18"/>
          <w:szCs w:val="18"/>
          <w:color w:val="auto"/>
        </w:rPr>
      </w:pPr>
    </w:p>
    <w:p>
      <w:pPr>
        <w:jc w:val="both"/>
        <w:ind w:left="-20" w:firstLine="1045"/>
        <w:spacing w:after="0" w:line="285" w:lineRule="auto"/>
        <w:tabs>
          <w:tab w:leader="none" w:pos="1707"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6"/>
          <w:szCs w:val="16"/>
          <w:b w:val="1"/>
          <w:bCs w:val="1"/>
          <w:color w:val="auto"/>
        </w:rPr>
        <w:t>DWAC</w:t>
      </w:r>
      <w:r>
        <w:rPr>
          <w:rFonts w:ascii="Arial" w:cs="Arial" w:eastAsia="Arial" w:hAnsi="Arial"/>
          <w:sz w:val="16"/>
          <w:szCs w:val="16"/>
          <w:color w:val="auto"/>
        </w:rPr>
        <w:t xml:space="preserve">”)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three (3) trading days from the delivery to the Company of the Notice of Exercise and payment of the aggregate Exercise Price (unless exercised by means of a cashless exercise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The Warrant Shares shall be deemed to have been issued, and the holder or any other person so designated to be 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3" w:name="page24"/>
    <w:bookmarkEnd w:id="23"/>
    <w:p>
      <w:pPr>
        <w:ind w:left="-20" w:firstLine="1045"/>
        <w:spacing w:after="0" w:line="277" w:lineRule="auto"/>
        <w:tabs>
          <w:tab w:leader="none" w:pos="169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70" w:lineRule="exact"/>
        <w:rPr>
          <w:rFonts w:ascii="Arial" w:cs="Arial" w:eastAsia="Arial" w:hAnsi="Arial"/>
          <w:sz w:val="18"/>
          <w:szCs w:val="18"/>
          <w:color w:val="auto"/>
        </w:rPr>
      </w:pPr>
    </w:p>
    <w:p>
      <w:pPr>
        <w:jc w:val="both"/>
        <w:ind w:left="-20" w:firstLine="1045"/>
        <w:spacing w:after="0" w:line="283" w:lineRule="auto"/>
        <w:tabs>
          <w:tab w:leader="none" w:pos="161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Warrantholder’s Exercise Limitations</w:t>
      </w:r>
      <w:r>
        <w:rPr>
          <w:rFonts w:ascii="Arial" w:cs="Arial" w:eastAsia="Arial" w:hAnsi="Arial"/>
          <w:sz w:val="16"/>
          <w:szCs w:val="16"/>
          <w:color w:val="auto"/>
        </w:rPr>
        <w:t xml:space="preserve">. A holder shall not have the right to exercise this Warrant,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aggregate number of shares of Common Stock beneficially owned by the holder and its affiliates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convertible notes or convertible preferred stock or warrants) subject to a limitation on conversion or exercise analogous to the limitation contained herein beneficially owned by the holder or any of its affiliates. Except as set forth in the preceding sentence, for purposes of this section,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and shall have no liability for exercise of the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w:t>
      </w:r>
      <w:r>
        <w:rPr>
          <w:rFonts w:ascii="Arial" w:cs="Arial" w:eastAsia="Arial" w:hAnsi="Arial"/>
          <w:sz w:val="16"/>
          <w:szCs w:val="16"/>
          <w:u w:val="single" w:color="auto"/>
          <w:color w:val="auto"/>
        </w:rPr>
        <w:t>Section 5(c)</w:t>
      </w:r>
      <w:r>
        <w:rPr>
          <w:rFonts w:ascii="Arial" w:cs="Arial" w:eastAsia="Arial" w:hAnsi="Arial"/>
          <w:sz w:val="16"/>
          <w:szCs w:val="16"/>
          <w:color w:val="auto"/>
        </w:rPr>
        <w:t>, in determining the number of outstanding shares of Common Stock, a holder may rely on the number of outstanding shares of Common Stock as reflected in (A) the Company’s most recent periodic or annual report filed with the U.S. Securities and Exchange Commission, as the case may be, (B) a more recent public announcement by the Company or (C) a more recent written notice by the Company or the Company’s transfer agent setting forth the number of shares of Common Stock outstanding. Upon the written request of a holder, the Company shall within two (2) trading days confirm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Arial" w:cs="Arial" w:eastAsia="Arial" w:hAnsi="Arial"/>
          <w:sz w:val="16"/>
          <w:szCs w:val="16"/>
          <w:b w:val="1"/>
          <w:bCs w:val="1"/>
          <w:color w:val="auto"/>
        </w:rPr>
        <w:t>Beneficial Ownership Limitation</w:t>
      </w:r>
      <w:r>
        <w:rPr>
          <w:rFonts w:ascii="Arial" w:cs="Arial" w:eastAsia="Arial" w:hAnsi="Arial"/>
          <w:sz w:val="16"/>
          <w:szCs w:val="16"/>
          <w:color w:val="auto"/>
        </w:rPr>
        <w:t xml:space="preserve">” shall be 9.99% of the number of shares of the Common Stock outstanding immediately after giving effect to the issuance of shares of Common Stock issuable upon exercise of this Warrant. Any such increase or decrease will not be effective until the 61st day after such notice is delivered to the Company. The provisions of this paragraph shall be construed and implemented in strict conformity with the terms of this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4" w:name="page25"/>
    <w:bookmarkEnd w:id="24"/>
    <w:p>
      <w:pPr>
        <w:jc w:val="both"/>
        <w:ind w:left="-20" w:firstLine="527"/>
        <w:spacing w:after="0" w:line="264" w:lineRule="auto"/>
        <w:tabs>
          <w:tab w:leader="none" w:pos="11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81" w:lineRule="exact"/>
        <w:rPr>
          <w:rFonts w:ascii="Arial" w:cs="Arial" w:eastAsia="Arial" w:hAnsi="Arial"/>
          <w:sz w:val="18"/>
          <w:szCs w:val="18"/>
          <w:color w:val="auto"/>
        </w:rPr>
      </w:pPr>
    </w:p>
    <w:p>
      <w:pPr>
        <w:ind w:left="1100" w:hanging="593"/>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SECURITIES LAWS.</w:t>
      </w:r>
    </w:p>
    <w:p>
      <w:pPr>
        <w:spacing w:after="0" w:line="225" w:lineRule="exact"/>
        <w:rPr>
          <w:rFonts w:ascii="Arial" w:cs="Arial" w:eastAsia="Arial" w:hAnsi="Arial"/>
          <w:sz w:val="18"/>
          <w:szCs w:val="18"/>
          <w:color w:val="auto"/>
        </w:rPr>
      </w:pPr>
    </w:p>
    <w:p>
      <w:pPr>
        <w:jc w:val="both"/>
        <w:ind w:left="-20" w:firstLine="1045"/>
        <w:spacing w:after="0" w:line="257" w:lineRule="auto"/>
        <w:tabs>
          <w:tab w:leader="none" w:pos="1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88" w:lineRule="exact"/>
        <w:rPr>
          <w:rFonts w:ascii="Arial" w:cs="Arial" w:eastAsia="Arial" w:hAnsi="Arial"/>
          <w:sz w:val="18"/>
          <w:szCs w:val="18"/>
          <w:color w:val="auto"/>
        </w:rPr>
      </w:pPr>
    </w:p>
    <w:p>
      <w:pPr>
        <w:jc w:val="both"/>
        <w:ind w:left="-20" w:firstLine="1045"/>
        <w:spacing w:after="0" w:line="257" w:lineRule="auto"/>
        <w:tabs>
          <w:tab w:leader="none" w:pos="1684" w:val="left"/>
        </w:tabs>
        <w:numPr>
          <w:ilvl w:val="1"/>
          <w:numId w:val="25"/>
        </w:numPr>
        <w:rPr>
          <w:rFonts w:ascii="Arial" w:cs="Arial" w:eastAsia="Arial" w:hAnsi="Arial"/>
          <w:sz w:val="18"/>
          <w:szCs w:val="18"/>
          <w:color w:val="auto"/>
        </w:rPr>
      </w:pPr>
      <w:r>
        <w:rPr>
          <w:rFonts w:ascii="Arial" w:cs="Arial" w:eastAsia="Arial" w:hAnsi="Arial"/>
          <w:sz w:val="18"/>
          <w:szCs w:val="18"/>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88" w:lineRule="exact"/>
        <w:rPr>
          <w:rFonts w:ascii="Arial" w:cs="Arial" w:eastAsia="Arial" w:hAnsi="Arial"/>
          <w:sz w:val="18"/>
          <w:szCs w:val="18"/>
          <w:color w:val="auto"/>
        </w:rPr>
      </w:pPr>
    </w:p>
    <w:p>
      <w:pPr>
        <w:jc w:val="both"/>
        <w:ind w:left="-20" w:firstLine="1045"/>
        <w:spacing w:after="0" w:line="264" w:lineRule="auto"/>
        <w:tabs>
          <w:tab w:leader="none" w:pos="159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 w:name="page26"/>
    <w:bookmarkEnd w:id="25"/>
    <w:p>
      <w:pPr>
        <w:jc w:val="both"/>
        <w:ind w:left="1040"/>
        <w:spacing w:after="0" w:line="270" w:lineRule="auto"/>
        <w:rPr>
          <w:sz w:val="20"/>
          <w:szCs w:val="20"/>
          <w:color w:val="auto"/>
        </w:rPr>
      </w:pPr>
      <w:r>
        <w:rPr>
          <w:rFonts w:ascii="Arial" w:cs="Arial" w:eastAsia="Arial" w:hAnsi="Arial"/>
          <w:sz w:val="17"/>
          <w:szCs w:val="17"/>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78" w:lineRule="exact"/>
        <w:rPr>
          <w:sz w:val="20"/>
          <w:szCs w:val="20"/>
          <w:color w:val="auto"/>
        </w:rPr>
      </w:pPr>
    </w:p>
    <w:p>
      <w:pPr>
        <w:jc w:val="both"/>
        <w:ind w:left="-20" w:firstLine="527"/>
        <w:spacing w:after="0" w:line="259" w:lineRule="auto"/>
        <w:tabs>
          <w:tab w:leader="none" w:pos="13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86" w:lineRule="exact"/>
        <w:rPr>
          <w:rFonts w:ascii="Arial" w:cs="Arial" w:eastAsia="Arial" w:hAnsi="Arial"/>
          <w:sz w:val="18"/>
          <w:szCs w:val="18"/>
          <w:color w:val="auto"/>
        </w:rPr>
      </w:pPr>
    </w:p>
    <w:p>
      <w:pPr>
        <w:jc w:val="both"/>
        <w:ind w:left="-20" w:firstLine="527"/>
        <w:spacing w:after="0" w:line="259" w:lineRule="auto"/>
        <w:tabs>
          <w:tab w:leader="none" w:pos="11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6" w:lineRule="exact"/>
        <w:rPr>
          <w:rFonts w:ascii="Arial" w:cs="Arial" w:eastAsia="Arial" w:hAnsi="Arial"/>
          <w:sz w:val="18"/>
          <w:szCs w:val="18"/>
          <w:color w:val="auto"/>
        </w:rPr>
      </w:pPr>
    </w:p>
    <w:p>
      <w:pPr>
        <w:jc w:val="both"/>
        <w:ind w:left="-20" w:firstLine="527"/>
        <w:spacing w:after="0" w:line="264" w:lineRule="auto"/>
        <w:tabs>
          <w:tab w:leader="none" w:pos="11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81" w:lineRule="exact"/>
        <w:rPr>
          <w:rFonts w:ascii="Arial" w:cs="Arial" w:eastAsia="Arial" w:hAnsi="Arial"/>
          <w:sz w:val="18"/>
          <w:szCs w:val="18"/>
          <w:color w:val="auto"/>
        </w:rPr>
      </w:pPr>
    </w:p>
    <w:p>
      <w:pPr>
        <w:ind w:left="1080" w:hanging="57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TRANSFERS; EXCHANGES.</w:t>
      </w:r>
    </w:p>
    <w:p>
      <w:pPr>
        <w:spacing w:after="0" w:line="225" w:lineRule="exact"/>
        <w:rPr>
          <w:rFonts w:ascii="Arial" w:cs="Arial" w:eastAsia="Arial" w:hAnsi="Arial"/>
          <w:sz w:val="18"/>
          <w:szCs w:val="18"/>
          <w:color w:val="auto"/>
        </w:rPr>
      </w:pPr>
    </w:p>
    <w:p>
      <w:pPr>
        <w:jc w:val="both"/>
        <w:ind w:left="-20" w:firstLine="1045"/>
        <w:spacing w:after="0" w:line="288" w:lineRule="auto"/>
        <w:tabs>
          <w:tab w:leader="none" w:pos="1751"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Subject to compliance with applicable federal and state securities laws and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6"/>
          <w:szCs w:val="16"/>
          <w:b w:val="1"/>
          <w:bCs w:val="1"/>
          <w:color w:val="auto"/>
        </w:rPr>
        <w:t>Permitted Transfer</w:t>
      </w:r>
      <w:r>
        <w:rPr>
          <w:rFonts w:ascii="Arial" w:cs="Arial" w:eastAsia="Arial" w:hAnsi="Arial"/>
          <w:sz w:val="16"/>
          <w:szCs w:val="16"/>
          <w:color w:val="auto"/>
        </w:rPr>
        <w:t xml:space="preserve">”). For a transfer of this Warrant as an entirety by the Warrantholder, upon surrender of this Warrant to the Company, together with the Notice of Assignment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6"/>
          <w:szCs w:val="16"/>
          <w:b w:val="1"/>
          <w:bCs w:val="1"/>
          <w:color w:val="auto"/>
        </w:rPr>
        <w:t>Affiliate</w:t>
      </w:r>
      <w:r>
        <w:rPr>
          <w:rFonts w:ascii="Arial" w:cs="Arial" w:eastAsia="Arial" w:hAnsi="Arial"/>
          <w:sz w:val="16"/>
          <w:szCs w:val="16"/>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6" w:name="page27"/>
    <w:bookmarkEnd w:id="26"/>
    <w:p>
      <w:pPr>
        <w:jc w:val="both"/>
        <w:ind w:left="-20" w:firstLine="1045"/>
        <w:spacing w:after="0" w:line="255" w:lineRule="auto"/>
        <w:tabs>
          <w:tab w:leader="none" w:pos="17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8"/>
          <w:szCs w:val="18"/>
          <w:b w:val="1"/>
          <w:bCs w:val="1"/>
          <w:color w:val="auto"/>
        </w:rPr>
        <w:t>Warrants</w:t>
      </w:r>
      <w:r>
        <w:rPr>
          <w:rFonts w:ascii="Arial" w:cs="Arial" w:eastAsia="Arial" w:hAnsi="Arial"/>
          <w:sz w:val="18"/>
          <w:szCs w:val="18"/>
          <w:color w:val="auto"/>
        </w:rPr>
        <w:t>” as used herein includes any warrants into which this Warrant may be divided or exchanged.</w:t>
      </w:r>
    </w:p>
    <w:p>
      <w:pPr>
        <w:spacing w:after="0" w:line="193" w:lineRule="exact"/>
        <w:rPr>
          <w:rFonts w:ascii="Arial" w:cs="Arial" w:eastAsia="Arial" w:hAnsi="Arial"/>
          <w:sz w:val="18"/>
          <w:szCs w:val="18"/>
          <w:color w:val="auto"/>
        </w:rPr>
      </w:pPr>
    </w:p>
    <w:p>
      <w:pPr>
        <w:jc w:val="both"/>
        <w:ind w:left="-20" w:firstLine="527"/>
        <w:spacing w:after="0" w:line="289" w:lineRule="auto"/>
        <w:tabs>
          <w:tab w:leader="none" w:pos="107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6" w:lineRule="exact"/>
        <w:rPr>
          <w:rFonts w:ascii="Arial" w:cs="Arial" w:eastAsia="Arial" w:hAnsi="Arial"/>
          <w:sz w:val="16"/>
          <w:szCs w:val="16"/>
          <w:color w:val="auto"/>
        </w:rPr>
      </w:pPr>
    </w:p>
    <w:p>
      <w:pPr>
        <w:ind w:left="1040" w:hanging="533"/>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rFonts w:ascii="Arial" w:cs="Arial" w:eastAsia="Arial" w:hAnsi="Arial"/>
          <w:sz w:val="18"/>
          <w:szCs w:val="18"/>
          <w:color w:val="auto"/>
        </w:rPr>
      </w:pPr>
    </w:p>
    <w:p>
      <w:pPr>
        <w:jc w:val="both"/>
        <w:ind w:left="-20" w:firstLine="1045"/>
        <w:spacing w:after="0" w:line="259" w:lineRule="auto"/>
        <w:tabs>
          <w:tab w:leader="none" w:pos="1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 w:name="page28"/>
    <w:bookmarkEnd w:id="27"/>
    <w:p>
      <w:pPr>
        <w:jc w:val="both"/>
        <w:ind w:left="-20" w:firstLine="1045"/>
        <w:spacing w:after="0" w:line="272" w:lineRule="auto"/>
        <w:tabs>
          <w:tab w:leader="none" w:pos="18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50 North Laura Street, Suite 2500, Jacksonville, FL 32202 Attn: Mr. Glynn Wilson, Ph.D., e-mail: gwilson@tapimmune.com;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w:t>
      </w:r>
    </w:p>
    <w:p>
      <w:pPr>
        <w:spacing w:after="0" w:line="177" w:lineRule="exact"/>
        <w:rPr>
          <w:rFonts w:ascii="Arial" w:cs="Arial" w:eastAsia="Arial" w:hAnsi="Arial"/>
          <w:sz w:val="17"/>
          <w:szCs w:val="17"/>
          <w:color w:val="auto"/>
        </w:rPr>
      </w:pPr>
    </w:p>
    <w:p>
      <w:pPr>
        <w:ind w:left="4760" w:right="120" w:hanging="3735"/>
        <w:spacing w:after="0" w:line="528" w:lineRule="auto"/>
        <w:tabs>
          <w:tab w:leader="none" w:pos="16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invalidity or unenforceability of any provision hereof shall in no way affect the validity or enforceability of any other provisions. [</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IN WITNESS WHEREOF, this Common Stock Purchase Warrant is issued effective as of the date first set forth above.</w:t>
      </w:r>
    </w:p>
    <w:p>
      <w:pPr>
        <w:spacing w:after="0" w:line="2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TAPIMMUNE INC.</w:t>
      </w:r>
    </w:p>
    <w:p>
      <w:pPr>
        <w:spacing w:after="0" w:line="229"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Mr. Glynn Wilson, Ph.D</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Warrant No. 2017PIPE-[__</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443865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60" w:top="908"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signed only upon exercise of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TapImmune Inc.</w:t>
      </w:r>
    </w:p>
    <w:p>
      <w:pPr>
        <w:spacing w:after="0" w:line="225" w:lineRule="exact"/>
        <w:rPr>
          <w:sz w:val="20"/>
          <w:szCs w:val="20"/>
          <w:color w:val="auto"/>
        </w:rPr>
      </w:pPr>
    </w:p>
    <w:p>
      <w:pPr>
        <w:jc w:val="both"/>
        <w:ind w:right="20" w:firstLine="519"/>
        <w:spacing w:after="0" w:line="308" w:lineRule="auto"/>
        <w:rPr>
          <w:sz w:val="20"/>
          <w:szCs w:val="20"/>
          <w:color w:val="auto"/>
        </w:rPr>
      </w:pPr>
      <w:r>
        <w:rPr>
          <w:rFonts w:ascii="Arial" w:cs="Arial" w:eastAsia="Arial" w:hAnsi="Arial"/>
          <w:sz w:val="17"/>
          <w:szCs w:val="17"/>
          <w:color w:val="auto"/>
        </w:rPr>
        <w:t>The undersigned, the Warrantholder of the attached Warrant, hereby irrevocably elects to exercise the purchase right represented by such Warrant for, and to purchase thereunder, __________________________ (________) shares of Common Stock of TapImmune Inc. and (choose one)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__________ herewith makes payment of ___________________________ Dollars ($_________) thereof</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__________ elects to Net Exercise the Warrant pursuant to </w:t>
      </w:r>
      <w:r>
        <w:rPr>
          <w:rFonts w:ascii="Arial" w:cs="Arial" w:eastAsia="Arial" w:hAnsi="Arial"/>
          <w:sz w:val="18"/>
          <w:szCs w:val="18"/>
          <w:u w:val="single" w:color="auto"/>
          <w:color w:val="auto"/>
        </w:rPr>
        <w:t>Section 1(b)(2)</w:t>
      </w:r>
      <w:r>
        <w:rPr>
          <w:rFonts w:ascii="Arial" w:cs="Arial" w:eastAsia="Arial" w:hAnsi="Arial"/>
          <w:sz w:val="18"/>
          <w:szCs w:val="18"/>
          <w:color w:val="auto"/>
        </w:rPr>
        <w:t xml:space="preserve"> thereof.</w:t>
      </w:r>
    </w:p>
    <w:p>
      <w:pPr>
        <w:spacing w:after="0" w:line="225" w:lineRule="exact"/>
        <w:rPr>
          <w:sz w:val="20"/>
          <w:szCs w:val="20"/>
          <w:color w:val="auto"/>
        </w:rPr>
      </w:pPr>
    </w:p>
    <w:p>
      <w:pPr>
        <w:ind w:right="320" w:firstLine="519"/>
        <w:spacing w:after="0" w:line="258" w:lineRule="auto"/>
        <w:rPr>
          <w:sz w:val="20"/>
          <w:szCs w:val="20"/>
          <w:color w:val="auto"/>
        </w:rPr>
      </w:pPr>
      <w:r>
        <w:rPr>
          <w:rFonts w:ascii="Arial" w:cs="Arial" w:eastAsia="Arial" w:hAnsi="Arial"/>
          <w:sz w:val="18"/>
          <w:szCs w:val="18"/>
          <w:color w:val="auto"/>
        </w:rPr>
        <w:t>The undersigned requests that the certificates or book entry position evidencing the shares to be acquired pursuant to such exercise be issued in the name of, and delivered to __________________________________________, whose address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11"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 must conform in all respects to name of the Warrantholder as</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specified on the face of the Warrant)</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142875</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ASSIGNMENT FORM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VALUE RECEIVED, [_________] (the “</w:t>
      </w:r>
      <w:r>
        <w:rPr>
          <w:rFonts w:ascii="Arial" w:cs="Arial" w:eastAsia="Arial" w:hAnsi="Arial"/>
          <w:sz w:val="17"/>
          <w:szCs w:val="17"/>
          <w:u w:val="single" w:color="auto"/>
          <w:color w:val="auto"/>
        </w:rPr>
        <w:t>Assignor</w:t>
      </w:r>
      <w:r>
        <w:rPr>
          <w:rFonts w:ascii="Arial" w:cs="Arial" w:eastAsia="Arial" w:hAnsi="Arial"/>
          <w:sz w:val="17"/>
          <w:szCs w:val="17"/>
          <w:color w:val="auto"/>
        </w:rPr>
        <w:t>”) hereby sells, assigns and transfers all of the rights of the undersigned Assignor under the</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attached Warrant with respect to the number of shares of common stock of TapImmune Inc. (the “</w:t>
      </w:r>
      <w:r>
        <w:rPr>
          <w:rFonts w:ascii="Arial" w:cs="Arial" w:eastAsia="Arial" w:hAnsi="Arial"/>
          <w:sz w:val="16"/>
          <w:szCs w:val="16"/>
          <w:u w:val="single" w:color="auto"/>
          <w:color w:val="auto"/>
        </w:rPr>
        <w:t>Company</w:t>
      </w:r>
      <w:r>
        <w:rPr>
          <w:rFonts w:ascii="Arial" w:cs="Arial" w:eastAsia="Arial" w:hAnsi="Arial"/>
          <w:sz w:val="16"/>
          <w:szCs w:val="16"/>
          <w:color w:val="auto"/>
        </w:rPr>
        <w:t>”) covered thereby set forth below, to the following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and, in connection with such transfer, represents and warrants to the Company that the transfer is in compliance with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2"/>
              </w:rPr>
              <w:t>Warrant and applicable federal and state securities laws:</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18"/>
        </w:trPr>
        <w:tc>
          <w:tcPr>
            <w:tcW w:w="4200" w:type="dxa"/>
            <w:vAlign w:val="bottom"/>
            <w:gridSpan w:val="2"/>
          </w:tcPr>
          <w:p>
            <w:pPr>
              <w:ind w:left="1440"/>
              <w:spacing w:after="0"/>
              <w:rPr>
                <w:sz w:val="20"/>
                <w:szCs w:val="20"/>
                <w:color w:val="auto"/>
              </w:rPr>
            </w:pPr>
            <w:r>
              <w:rPr>
                <w:rFonts w:ascii="Arial" w:cs="Arial" w:eastAsia="Arial" w:hAnsi="Arial"/>
                <w:sz w:val="18"/>
                <w:szCs w:val="18"/>
                <w:color w:val="auto"/>
              </w:rPr>
              <w:t>NAME OF ASSIGNEE</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60" w:type="dxa"/>
            <w:vAlign w:val="bottom"/>
          </w:tcPr>
          <w:p>
            <w:pPr>
              <w:ind w:left="1220"/>
              <w:spacing w:after="0"/>
              <w:rPr>
                <w:sz w:val="20"/>
                <w:szCs w:val="20"/>
                <w:color w:val="auto"/>
              </w:rPr>
            </w:pPr>
            <w:r>
              <w:rPr>
                <w:rFonts w:ascii="Arial" w:cs="Arial" w:eastAsia="Arial" w:hAnsi="Arial"/>
                <w:sz w:val="18"/>
                <w:szCs w:val="18"/>
                <w:color w:val="auto"/>
              </w:rPr>
              <w:t>ADDRESS/FAX NUMBER</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Number of shares:</w:t>
            </w:r>
          </w:p>
        </w:tc>
        <w:tc>
          <w:tcPr>
            <w:tcW w:w="2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26"/>
        </w:trPr>
        <w:tc>
          <w:tcPr>
            <w:tcW w:w="1960" w:type="dxa"/>
            <w:vAlign w:val="bottom"/>
          </w:tcPr>
          <w:p>
            <w:pPr>
              <w:spacing w:after="0"/>
              <w:rPr>
                <w:sz w:val="20"/>
                <w:szCs w:val="20"/>
                <w:color w:val="auto"/>
              </w:rPr>
            </w:pPr>
            <w:r>
              <w:rPr>
                <w:rFonts w:ascii="Arial" w:cs="Arial" w:eastAsia="Arial" w:hAnsi="Arial"/>
                <w:sz w:val="18"/>
                <w:szCs w:val="18"/>
                <w:color w:val="auto"/>
              </w:rPr>
              <w:t>Dated:</w:t>
            </w:r>
          </w:p>
        </w:tc>
        <w:tc>
          <w:tcPr>
            <w:tcW w:w="2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Pr>
          <w:p>
            <w:pPr>
              <w:ind w:left="580"/>
              <w:spacing w:after="0"/>
              <w:rPr>
                <w:sz w:val="20"/>
                <w:szCs w:val="20"/>
                <w:color w:val="auto"/>
              </w:rPr>
            </w:pPr>
            <w:r>
              <w:rPr>
                <w:rFonts w:ascii="Arial" w:cs="Arial" w:eastAsia="Arial" w:hAnsi="Arial"/>
                <w:sz w:val="18"/>
                <w:szCs w:val="18"/>
                <w:color w:val="auto"/>
              </w:rPr>
              <w:t>Signature:</w:t>
            </w:r>
          </w:p>
        </w:tc>
        <w:tc>
          <w:tcPr>
            <w:tcW w:w="5360" w:type="dxa"/>
            <w:vAlign w:val="bottom"/>
            <w:tcBorders>
              <w:bottom w:val="single" w:sz="8" w:color="auto"/>
            </w:tcBorders>
          </w:tcPr>
          <w:p>
            <w:pPr>
              <w:spacing w:after="0"/>
              <w:rPr>
                <w:sz w:val="24"/>
                <w:szCs w:val="24"/>
                <w:color w:val="auto"/>
              </w:rPr>
            </w:pPr>
          </w:p>
        </w:tc>
      </w:tr>
      <w:tr>
        <w:trPr>
          <w:trHeight w:val="426"/>
        </w:trPr>
        <w:tc>
          <w:tcPr>
            <w:tcW w:w="1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ind w:left="580"/>
              <w:spacing w:after="0"/>
              <w:rPr>
                <w:sz w:val="20"/>
                <w:szCs w:val="20"/>
                <w:color w:val="auto"/>
              </w:rPr>
            </w:pPr>
            <w:r>
              <w:rPr>
                <w:rFonts w:ascii="Arial" w:cs="Arial" w:eastAsia="Arial" w:hAnsi="Arial"/>
                <w:sz w:val="18"/>
                <w:szCs w:val="18"/>
                <w:color w:val="auto"/>
              </w:rPr>
              <w:t>Witness:</w:t>
            </w:r>
          </w:p>
        </w:tc>
        <w:tc>
          <w:tcPr>
            <w:tcW w:w="5360" w:type="dxa"/>
            <w:vAlign w:val="bottom"/>
            <w:tcBorders>
              <w:bottom w:val="single" w:sz="8" w:color="auto"/>
            </w:tcBorders>
          </w:tcPr>
          <w:p>
            <w:pPr>
              <w:spacing w:after="0"/>
              <w:rPr>
                <w:sz w:val="24"/>
                <w:szCs w:val="24"/>
                <w:color w:val="auto"/>
              </w:rPr>
            </w:pPr>
          </w:p>
        </w:tc>
      </w:tr>
      <w:tr>
        <w:trPr>
          <w:trHeight w:val="426"/>
        </w:trPr>
        <w:tc>
          <w:tcPr>
            <w:tcW w:w="1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20" w:type="dxa"/>
            <w:vAlign w:val="bottom"/>
            <w:gridSpan w:val="3"/>
          </w:tcPr>
          <w:p>
            <w:pPr>
              <w:ind w:left="160"/>
              <w:spacing w:after="0"/>
              <w:rPr>
                <w:sz w:val="20"/>
                <w:szCs w:val="20"/>
                <w:color w:val="auto"/>
              </w:rPr>
            </w:pPr>
            <w:r>
              <w:rPr>
                <w:rFonts w:ascii="Arial" w:cs="Arial" w:eastAsia="Arial" w:hAnsi="Arial"/>
                <w:sz w:val="18"/>
                <w:szCs w:val="18"/>
                <w:color w:val="auto"/>
              </w:rPr>
              <w:t>ASSIGNEE ACKNOWLEDGMENT</w:t>
            </w:r>
          </w:p>
        </w:tc>
      </w:tr>
    </w:tbl>
    <w:p>
      <w:pPr>
        <w:spacing w:after="0" w:line="202" w:lineRule="exact"/>
        <w:rPr>
          <w:sz w:val="20"/>
          <w:szCs w:val="20"/>
          <w:color w:val="auto"/>
        </w:rPr>
      </w:pPr>
    </w:p>
    <w:p>
      <w:pPr>
        <w:jc w:val="both"/>
        <w:ind w:firstLine="519"/>
        <w:spacing w:after="0" w:line="264" w:lineRule="auto"/>
        <w:rPr>
          <w:sz w:val="20"/>
          <w:szCs w:val="20"/>
          <w:color w:val="auto"/>
        </w:rPr>
      </w:pPr>
      <w:r>
        <w:rPr>
          <w:rFonts w:ascii="Arial" w:cs="Arial" w:eastAsia="Arial" w:hAnsi="Arial"/>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thereof.</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3627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3627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880745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Subscription Agreement (this “</w:t>
      </w:r>
      <w:r>
        <w:rPr>
          <w:rFonts w:ascii="Arial" w:cs="Arial" w:eastAsia="Arial" w:hAnsi="Arial"/>
          <w:sz w:val="16"/>
          <w:szCs w:val="16"/>
          <w:i w:val="1"/>
          <w:iCs w:val="1"/>
          <w:u w:val="single" w:color="auto"/>
          <w:color w:val="auto"/>
        </w:rPr>
        <w:t>Agreement</w:t>
      </w:r>
      <w:r>
        <w:rPr>
          <w:rFonts w:ascii="Arial" w:cs="Arial" w:eastAsia="Arial" w:hAnsi="Arial"/>
          <w:sz w:val="16"/>
          <w:szCs w:val="16"/>
          <w:color w:val="auto"/>
        </w:rPr>
        <w:t>”) has been executed by the subscriber set forth on the signature page hereof (the “</w:t>
      </w:r>
      <w:r>
        <w:rPr>
          <w:rFonts w:ascii="Arial" w:cs="Arial" w:eastAsia="Arial" w:hAnsi="Arial"/>
          <w:sz w:val="16"/>
          <w:szCs w:val="16"/>
          <w:i w:val="1"/>
          <w:iCs w:val="1"/>
          <w:u w:val="single" w:color="auto"/>
          <w:color w:val="auto"/>
        </w:rPr>
        <w:t>Subscriber</w:t>
      </w:r>
      <w:r>
        <w:rPr>
          <w:rFonts w:ascii="Arial" w:cs="Arial" w:eastAsia="Arial" w:hAnsi="Arial"/>
          <w:sz w:val="16"/>
          <w:szCs w:val="16"/>
          <w:color w:val="auto"/>
        </w:rPr>
        <w:t>”) in connection with the private placement offering (the “</w:t>
      </w:r>
      <w:r>
        <w:rPr>
          <w:rFonts w:ascii="Arial" w:cs="Arial" w:eastAsia="Arial" w:hAnsi="Arial"/>
          <w:sz w:val="16"/>
          <w:szCs w:val="16"/>
          <w:i w:val="1"/>
          <w:iCs w:val="1"/>
          <w:u w:val="single" w:color="auto"/>
          <w:color w:val="auto"/>
        </w:rPr>
        <w:t>Offering</w:t>
      </w:r>
      <w:r>
        <w:rPr>
          <w:rFonts w:ascii="Arial" w:cs="Arial" w:eastAsia="Arial" w:hAnsi="Arial"/>
          <w:sz w:val="16"/>
          <w:szCs w:val="16"/>
          <w:color w:val="auto"/>
        </w:rPr>
        <w:t xml:space="preserve">”) by </w:t>
      </w:r>
      <w:r>
        <w:rPr>
          <w:rFonts w:ascii="Arial" w:cs="Arial" w:eastAsia="Arial" w:hAnsi="Arial"/>
          <w:sz w:val="16"/>
          <w:szCs w:val="16"/>
          <w:b w:val="1"/>
          <w:bCs w:val="1"/>
          <w:color w:val="auto"/>
        </w:rPr>
        <w:t>TapImmune Inc.</w:t>
      </w:r>
      <w:r>
        <w:rPr>
          <w:rFonts w:ascii="Arial" w:cs="Arial" w:eastAsia="Arial" w:hAnsi="Arial"/>
          <w:sz w:val="16"/>
          <w:szCs w:val="16"/>
          <w:color w:val="auto"/>
        </w:rPr>
        <w:t>, a Nevada corporation (the “</w:t>
      </w:r>
      <w:r>
        <w:rPr>
          <w:rFonts w:ascii="Arial" w:cs="Arial" w:eastAsia="Arial" w:hAnsi="Arial"/>
          <w:sz w:val="16"/>
          <w:szCs w:val="16"/>
          <w:i w:val="1"/>
          <w:iCs w:val="1"/>
          <w:u w:val="single" w:color="auto"/>
          <w:color w:val="auto"/>
        </w:rPr>
        <w:t>Company</w:t>
      </w:r>
      <w:r>
        <w:rPr>
          <w:rFonts w:ascii="Arial" w:cs="Arial" w:eastAsia="Arial" w:hAnsi="Arial"/>
          <w:sz w:val="16"/>
          <w:szCs w:val="16"/>
          <w:color w:val="auto"/>
        </w:rPr>
        <w:t>”), of Units (“</w:t>
      </w:r>
      <w:r>
        <w:rPr>
          <w:rFonts w:ascii="Arial" w:cs="Arial" w:eastAsia="Arial" w:hAnsi="Arial"/>
          <w:sz w:val="16"/>
          <w:szCs w:val="16"/>
          <w:i w:val="1"/>
          <w:iCs w:val="1"/>
          <w:u w:val="single" w:color="auto"/>
          <w:color w:val="auto"/>
        </w:rPr>
        <w:t>Units</w:t>
      </w:r>
      <w:r>
        <w:rPr>
          <w:rFonts w:ascii="Arial" w:cs="Arial" w:eastAsia="Arial" w:hAnsi="Arial"/>
          <w:sz w:val="16"/>
          <w:szCs w:val="16"/>
          <w:color w:val="auto"/>
        </w:rPr>
        <w:t>”), with each Unit consisting of one share of the Company’s common stock (“</w:t>
      </w:r>
      <w:r>
        <w:rPr>
          <w:rFonts w:ascii="Arial" w:cs="Arial" w:eastAsia="Arial" w:hAnsi="Arial"/>
          <w:sz w:val="16"/>
          <w:szCs w:val="16"/>
          <w:i w:val="1"/>
          <w:iCs w:val="1"/>
          <w:u w:val="single" w:color="auto"/>
          <w:color w:val="auto"/>
        </w:rPr>
        <w:t>Common Stock</w:t>
      </w:r>
      <w:r>
        <w:rPr>
          <w:rFonts w:ascii="Arial" w:cs="Arial" w:eastAsia="Arial" w:hAnsi="Arial"/>
          <w:sz w:val="16"/>
          <w:szCs w:val="16"/>
          <w:color w:val="auto"/>
        </w:rPr>
        <w:t>”), par value $0.001 per share (each, a “</w:t>
      </w:r>
      <w:r>
        <w:rPr>
          <w:rFonts w:ascii="Arial" w:cs="Arial" w:eastAsia="Arial" w:hAnsi="Arial"/>
          <w:sz w:val="16"/>
          <w:szCs w:val="16"/>
          <w:i w:val="1"/>
          <w:iCs w:val="1"/>
          <w:u w:val="single" w:color="auto"/>
          <w:color w:val="auto"/>
        </w:rPr>
        <w:t>Share</w:t>
      </w:r>
      <w:r>
        <w:rPr>
          <w:rFonts w:ascii="Arial" w:cs="Arial" w:eastAsia="Arial" w:hAnsi="Arial"/>
          <w:sz w:val="16"/>
          <w:szCs w:val="16"/>
          <w:color w:val="auto"/>
        </w:rPr>
        <w:t>”) and one five-year warrant to purchase one share of Common Stock with an exercise price equal to the Market Value (as defined below) (each an “</w:t>
      </w:r>
      <w:r>
        <w:rPr>
          <w:rFonts w:ascii="Arial" w:cs="Arial" w:eastAsia="Arial" w:hAnsi="Arial"/>
          <w:sz w:val="16"/>
          <w:szCs w:val="16"/>
          <w:i w:val="1"/>
          <w:iCs w:val="1"/>
          <w:u w:val="single" w:color="auto"/>
          <w:color w:val="auto"/>
        </w:rPr>
        <w:t>Investor Warrant</w:t>
      </w:r>
      <w:r>
        <w:rPr>
          <w:rFonts w:ascii="Arial" w:cs="Arial" w:eastAsia="Arial" w:hAnsi="Arial"/>
          <w:sz w:val="16"/>
          <w:szCs w:val="16"/>
          <w:color w:val="auto"/>
        </w:rPr>
        <w:t>”). The price per Unit (the “</w:t>
      </w:r>
      <w:r>
        <w:rPr>
          <w:rFonts w:ascii="Arial" w:cs="Arial" w:eastAsia="Arial" w:hAnsi="Arial"/>
          <w:sz w:val="16"/>
          <w:szCs w:val="16"/>
          <w:i w:val="1"/>
          <w:iCs w:val="1"/>
          <w:u w:val="single" w:color="auto"/>
          <w:color w:val="auto"/>
        </w:rPr>
        <w:t>Purchase Price</w:t>
      </w:r>
      <w:r>
        <w:rPr>
          <w:rFonts w:ascii="Arial" w:cs="Arial" w:eastAsia="Arial" w:hAnsi="Arial"/>
          <w:sz w:val="16"/>
          <w:szCs w:val="16"/>
          <w:color w:val="auto"/>
        </w:rPr>
        <w:t>”) will be equal to “</w:t>
      </w:r>
      <w:r>
        <w:rPr>
          <w:rFonts w:ascii="Arial" w:cs="Arial" w:eastAsia="Arial" w:hAnsi="Arial"/>
          <w:sz w:val="16"/>
          <w:szCs w:val="16"/>
          <w:i w:val="1"/>
          <w:iCs w:val="1"/>
          <w:u w:val="single" w:color="auto"/>
          <w:color w:val="auto"/>
        </w:rPr>
        <w:t>Market Value</w:t>
      </w:r>
      <w:r>
        <w:rPr>
          <w:rFonts w:ascii="Arial" w:cs="Arial" w:eastAsia="Arial" w:hAnsi="Arial"/>
          <w:sz w:val="16"/>
          <w:szCs w:val="16"/>
          <w:color w:val="auto"/>
        </w:rPr>
        <w:t>,” as defined below, plus $0.125. The $0.125 will be allocated to the warrant included in the Unit, and the remainder of the Purchase Price will be allocated to the Share of Common Stock. “</w:t>
      </w:r>
      <w:r>
        <w:rPr>
          <w:rFonts w:ascii="Arial" w:cs="Arial" w:eastAsia="Arial" w:hAnsi="Arial"/>
          <w:sz w:val="16"/>
          <w:szCs w:val="16"/>
          <w:i w:val="1"/>
          <w:iCs w:val="1"/>
          <w:u w:val="single" w:color="auto"/>
          <w:color w:val="auto"/>
        </w:rPr>
        <w:t>Market Value</w:t>
      </w:r>
      <w:r>
        <w:rPr>
          <w:rFonts w:ascii="Arial" w:cs="Arial" w:eastAsia="Arial" w:hAnsi="Arial"/>
          <w:sz w:val="16"/>
          <w:szCs w:val="16"/>
          <w:color w:val="auto"/>
        </w:rPr>
        <w:t>” is defined as the consolidated closing bid price per share of the Common Stock on the Nasdaq Stock Market immediately preceding the Company’s acceptance of subscription agreements for at least Five Million Dollars ($5,000,000) in Units. If the transaction is entered into during market hours, before the close of the regular session at 4 PM Eastern Time, the previous trading day's consolidated closing bid price will be used. If the transaction is entered into after the close of the regular session, then that day's consolidated closing bid price will be used. The Nasdaq Official Closing Price may differ from the consolidated closing bid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This subscription is being submitted to you in accordance with and subject to the terms and conditions described in this Agreement.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Units being subscribed for pursuant to this Agreement have not been registered under the Securities Act of 1933, as amended (the “</w:t>
      </w:r>
      <w:r>
        <w:rPr>
          <w:rFonts w:ascii="Arial" w:cs="Arial" w:eastAsia="Arial" w:hAnsi="Arial"/>
          <w:sz w:val="18"/>
          <w:szCs w:val="18"/>
          <w:i w:val="1"/>
          <w:iCs w:val="1"/>
          <w:u w:val="single" w:color="auto"/>
          <w:color w:val="auto"/>
        </w:rPr>
        <w:t>Securities Act</w:t>
      </w:r>
      <w:r>
        <w:rPr>
          <w:rFonts w:ascii="Arial" w:cs="Arial" w:eastAsia="Arial" w:hAnsi="Arial"/>
          <w:sz w:val="18"/>
          <w:szCs w:val="18"/>
          <w:color w:val="auto"/>
        </w:rPr>
        <w:t xml:space="preserve">”). The Offering is being made on a reasonable best efforts basis to “accredited investors,” as defined in Regulation D under the Securities Act. </w:t>
      </w:r>
      <w:r>
        <w:rPr>
          <w:rFonts w:ascii="Arial" w:cs="Arial" w:eastAsia="Arial" w:hAnsi="Arial"/>
          <w:sz w:val="18"/>
          <w:szCs w:val="18"/>
          <w:b w:val="1"/>
          <w:bCs w:val="1"/>
          <w:color w:val="auto"/>
        </w:rPr>
        <w:t>No offers or sales of</w:t>
      </w:r>
      <w:r>
        <w:rPr>
          <w:rFonts w:ascii="Arial" w:cs="Arial" w:eastAsia="Arial" w:hAnsi="Arial"/>
          <w:sz w:val="18"/>
          <w:szCs w:val="18"/>
          <w:color w:val="auto"/>
        </w:rPr>
        <w:t xml:space="preserve"> </w:t>
      </w:r>
      <w:r>
        <w:rPr>
          <w:rFonts w:ascii="Arial" w:cs="Arial" w:eastAsia="Arial" w:hAnsi="Arial"/>
          <w:sz w:val="18"/>
          <w:szCs w:val="18"/>
          <w:b w:val="1"/>
          <w:bCs w:val="1"/>
          <w:color w:val="auto"/>
        </w:rPr>
        <w:t>the Units may be made in Canada or accepted from individuals or entities in Canada.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undersigned acknowledges receipt of a copy of the Registration Rights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i w:val="1"/>
          <w:iCs w:val="1"/>
          <w:u w:val="single" w:color="auto"/>
          <w:color w:val="auto"/>
        </w:rPr>
        <w:t>Registration Rights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undersigned acknowledges receipt of a copy of the Warrant Agreement for the Investor Warrants,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w:t>
      </w:r>
    </w:p>
    <w:p>
      <w:pPr>
        <w:spacing w:after="0" w:line="23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The closing of the Offering (the “</w:t>
      </w:r>
      <w:r>
        <w:rPr>
          <w:rFonts w:ascii="Arial" w:cs="Arial" w:eastAsia="Arial" w:hAnsi="Arial"/>
          <w:sz w:val="18"/>
          <w:szCs w:val="18"/>
          <w:i w:val="1"/>
          <w:iCs w:val="1"/>
          <w:u w:val="single" w:color="auto"/>
          <w:color w:val="auto"/>
        </w:rPr>
        <w:t>Closing</w:t>
      </w:r>
      <w:r>
        <w:rPr>
          <w:rFonts w:ascii="Arial" w:cs="Arial" w:eastAsia="Arial" w:hAnsi="Arial"/>
          <w:sz w:val="18"/>
          <w:szCs w:val="18"/>
          <w:i w:val="1"/>
          <w:iCs w:val="1"/>
          <w:color w:val="auto"/>
        </w:rPr>
        <w:t>,</w:t>
      </w:r>
      <w:r>
        <w:rPr>
          <w:rFonts w:ascii="Arial" w:cs="Arial" w:eastAsia="Arial" w:hAnsi="Arial"/>
          <w:sz w:val="18"/>
          <w:szCs w:val="18"/>
          <w:color w:val="auto"/>
        </w:rPr>
        <w:t>” and the date on which such Closing occurs, hereinafter referred to as the “</w:t>
      </w:r>
      <w:r>
        <w:rPr>
          <w:rFonts w:ascii="Arial" w:cs="Arial" w:eastAsia="Arial" w:hAnsi="Arial"/>
          <w:sz w:val="18"/>
          <w:szCs w:val="18"/>
          <w:i w:val="1"/>
          <w:iCs w:val="1"/>
          <w:u w:val="single" w:color="auto"/>
          <w:color w:val="auto"/>
        </w:rPr>
        <w:t>Closing Date</w:t>
      </w:r>
      <w:r>
        <w:rPr>
          <w:rFonts w:ascii="Arial" w:cs="Arial" w:eastAsia="Arial" w:hAnsi="Arial"/>
          <w:sz w:val="18"/>
          <w:szCs w:val="18"/>
          <w:color w:val="auto"/>
        </w:rPr>
        <w:t>”) shall take place at the offices of Katalyst Securities LLC, 630 Third Avenue,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term sheet, disclosure schedule or other information document, delivered to the Subscriber prior to Subscriber’s execution of this Agreement, and any such document delivered to the Subscriber after Subscriber’s execution of this Agreement and prior to the Closing of the Subscriber’s subscription hereunder are collectively referred to as the “</w:t>
      </w:r>
      <w:r>
        <w:rPr>
          <w:rFonts w:ascii="Arial" w:cs="Arial" w:eastAsia="Arial" w:hAnsi="Arial"/>
          <w:sz w:val="18"/>
          <w:szCs w:val="18"/>
          <w:i w:val="1"/>
          <w:iCs w:val="1"/>
          <w:u w:val="single" w:color="auto"/>
          <w:color w:val="auto"/>
        </w:rPr>
        <w:t>Disclosure Materials</w:t>
      </w:r>
      <w:r>
        <w:rPr>
          <w:rFonts w:ascii="Arial" w:cs="Arial" w:eastAsia="Arial" w:hAnsi="Arial"/>
          <w:sz w:val="18"/>
          <w:szCs w:val="18"/>
          <w:color w:val="auto"/>
        </w:rPr>
        <w: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Simultaneously with the Closing of the Offering, 653,187 five-year warrants issued in the Company’s August 2016 private placement with closing dates on August 10, 2016 and August 26, 2016 (the “2016 Offering”) (each warrant providing for the purchase of one share of Common Stock) will be repriced, such that the exercise price will be reduced from $6.00 per share to an exercise price equal to Market Value (that is, the same exercise price as the Warrants being issued in this Offering). Each Subscriber that holds warrants issued in the 2016 Offering must pay an additional $0.125 per warrant held by such Subscriber in order to have such Subscriber’s warrants repriced. Such payment is in addition to the Purchase Price for the Units. See “</w:t>
      </w:r>
      <w:r>
        <w:rPr>
          <w:rFonts w:ascii="Arial" w:cs="Arial" w:eastAsia="Arial" w:hAnsi="Arial"/>
          <w:sz w:val="17"/>
          <w:szCs w:val="17"/>
          <w:i w:val="1"/>
          <w:iCs w:val="1"/>
          <w:color w:val="auto"/>
        </w:rPr>
        <w:t>How to subscribe for Units in the</w:t>
      </w:r>
      <w:r>
        <w:rPr>
          <w:rFonts w:ascii="Arial" w:cs="Arial" w:eastAsia="Arial" w:hAnsi="Arial"/>
          <w:sz w:val="17"/>
          <w:szCs w:val="17"/>
          <w:color w:val="auto"/>
        </w:rPr>
        <w:t xml:space="preserve"> </w:t>
      </w:r>
      <w:r>
        <w:rPr>
          <w:rFonts w:ascii="Arial" w:cs="Arial" w:eastAsia="Arial" w:hAnsi="Arial"/>
          <w:sz w:val="17"/>
          <w:szCs w:val="17"/>
          <w:i w:val="1"/>
          <w:iCs w:val="1"/>
          <w:color w:val="auto"/>
        </w:rPr>
        <w:t>private offering of TapImmune Inc.</w:t>
      </w:r>
      <w:r>
        <w:rPr>
          <w:rFonts w:ascii="Arial" w:cs="Arial" w:eastAsia="Arial" w:hAnsi="Arial"/>
          <w:sz w:val="17"/>
          <w:szCs w:val="17"/>
          <w:color w:val="auto"/>
        </w:rPr>
        <w:t>” below for more information. If a Subscriber investing in this Offering declines to pay the additional $0.125 per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then the exercise price will not be repriced to Market Value and will remain at $6.00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both"/>
        <w:ind w:left="660" w:hanging="652"/>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w:t>
      </w:r>
      <w:r>
        <w:rPr>
          <w:rFonts w:ascii="Arial" w:cs="Arial" w:eastAsia="Arial" w:hAnsi="Arial"/>
          <w:sz w:val="18"/>
          <w:szCs w:val="18"/>
          <w:color w:val="auto"/>
        </w:rPr>
        <w:t>The undersigned Subscriber hereby subscribes to purchase the maximum number of whole Units determined by dividing the dollar</w:t>
      </w:r>
      <w:r>
        <w:rPr>
          <w:rFonts w:ascii="Arial" w:cs="Arial" w:eastAsia="Arial" w:hAnsi="Arial"/>
          <w:sz w:val="18"/>
          <w:szCs w:val="18"/>
          <w:b w:val="1"/>
          <w:bCs w:val="1"/>
          <w:color w:val="auto"/>
        </w:rPr>
        <w:t xml:space="preserve"> </w:t>
      </w:r>
      <w:r>
        <w:rPr>
          <w:rFonts w:ascii="Arial" w:cs="Arial" w:eastAsia="Arial" w:hAnsi="Arial"/>
          <w:sz w:val="18"/>
          <w:szCs w:val="18"/>
          <w:color w:val="auto"/>
        </w:rPr>
        <w:t>amount set forth on the Omnibus Signature Page attached hereto by the Purchase Price, which will be determined as specified above on the date this Subscription Agreement is accepted by the Company, subject to the terms and conditions of this Agreement and on the basis of the representations, warranties, covenants and agreements contained herein.</w:t>
      </w:r>
    </w:p>
    <w:p>
      <w:pPr>
        <w:spacing w:after="0" w:line="180" w:lineRule="exact"/>
        <w:rPr>
          <w:rFonts w:ascii="Arial" w:cs="Arial" w:eastAsia="Arial" w:hAnsi="Arial"/>
          <w:sz w:val="18"/>
          <w:szCs w:val="18"/>
          <w:color w:val="auto"/>
        </w:rPr>
      </w:pPr>
    </w:p>
    <w:p>
      <w:pPr>
        <w:ind w:left="660" w:hanging="652"/>
        <w:spacing w:after="0" w:line="28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Subscription Procedure. </w:t>
      </w:r>
      <w:r>
        <w:rPr>
          <w:rFonts w:ascii="Arial" w:cs="Arial" w:eastAsia="Arial" w:hAnsi="Arial"/>
          <w:sz w:val="18"/>
          <w:szCs w:val="18"/>
          <w:color w:val="auto"/>
        </w:rPr>
        <w:t>To complete a subscription for the Units, the Subscriber must fully comply with the subscription procedure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paragraphs a. through c. of this Section on or before the Closing Date.</w:t>
      </w:r>
    </w:p>
    <w:p>
      <w:pPr>
        <w:spacing w:after="0" w:line="165"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Subscription Documents</w:t>
      </w:r>
      <w:r>
        <w:rPr>
          <w:rFonts w:ascii="Arial" w:cs="Arial" w:eastAsia="Arial" w:hAnsi="Arial"/>
          <w:sz w:val="17"/>
          <w:szCs w:val="17"/>
          <w:color w:val="auto"/>
        </w:rPr>
        <w:t>. On or before the Closing Date, the Subscriber shall review, complete and execute the Omnibus Signature Page to this Agreement and the Registration Rights Agreement, the Accredited Investor Certification, the Investor Profile, and the Anti-Money Laundering Form attached hereto following the Omnibus Signature Page (collectively, the “</w:t>
      </w:r>
      <w:r>
        <w:rPr>
          <w:rFonts w:ascii="Arial" w:cs="Arial" w:eastAsia="Arial" w:hAnsi="Arial"/>
          <w:sz w:val="17"/>
          <w:szCs w:val="17"/>
          <w:i w:val="1"/>
          <w:iCs w:val="1"/>
          <w:u w:val="single" w:color="auto"/>
          <w:color w:val="auto"/>
        </w:rPr>
        <w:t>Subscription Documents</w:t>
      </w:r>
      <w:r>
        <w:rPr>
          <w:rFonts w:ascii="Arial" w:cs="Arial" w:eastAsia="Arial" w:hAnsi="Arial"/>
          <w:sz w:val="17"/>
          <w:szCs w:val="17"/>
          <w:color w:val="auto"/>
        </w:rPr>
        <w:t>”), and deliver the Subscription Documents to Katalyst Securities LLC at the address set forth under the caption “</w:t>
      </w:r>
      <w:r>
        <w:rPr>
          <w:rFonts w:ascii="Arial" w:cs="Arial" w:eastAsia="Arial" w:hAnsi="Arial"/>
          <w:sz w:val="17"/>
          <w:szCs w:val="17"/>
          <w:i w:val="1"/>
          <w:iCs w:val="1"/>
          <w:color w:val="auto"/>
        </w:rPr>
        <w:t>How to subscribe for Units in the private offering of</w:t>
      </w:r>
      <w:r>
        <w:rPr>
          <w:rFonts w:ascii="Arial" w:cs="Arial" w:eastAsia="Arial" w:hAnsi="Arial"/>
          <w:sz w:val="17"/>
          <w:szCs w:val="17"/>
          <w:color w:val="auto"/>
        </w:rPr>
        <w:t xml:space="preserve"> </w:t>
      </w:r>
      <w:r>
        <w:rPr>
          <w:rFonts w:ascii="Arial" w:cs="Arial" w:eastAsia="Arial" w:hAnsi="Arial"/>
          <w:sz w:val="17"/>
          <w:szCs w:val="17"/>
          <w:i w:val="1"/>
          <w:iCs w:val="1"/>
          <w:color w:val="auto"/>
        </w:rPr>
        <w:t>TapImmune Inc.</w:t>
      </w:r>
      <w:r>
        <w:rPr>
          <w:rFonts w:ascii="Arial" w:cs="Arial" w:eastAsia="Arial" w:hAnsi="Arial"/>
          <w:sz w:val="17"/>
          <w:szCs w:val="17"/>
          <w:color w:val="auto"/>
        </w:rPr>
        <w:t>” below. Executed documents may be delivered to Katalyst Securities by facsimile or .pdf sent by electronic mail (e-mail), if the</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Subscriber delivers the original copies of the documents to Katalyst as soon as practicable thereafter.</w:t>
      </w:r>
    </w:p>
    <w:p>
      <w:pPr>
        <w:spacing w:after="0" w:line="178" w:lineRule="exact"/>
        <w:rPr>
          <w:rFonts w:ascii="Arial" w:cs="Arial" w:eastAsia="Arial" w:hAnsi="Arial"/>
          <w:sz w:val="17"/>
          <w:szCs w:val="17"/>
          <w:color w:val="auto"/>
        </w:rPr>
      </w:pPr>
    </w:p>
    <w:p>
      <w:pPr>
        <w:jc w:val="both"/>
        <w:ind w:left="980" w:hanging="324"/>
        <w:spacing w:after="0" w:line="273"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Simultaneously with the delivery of the Subscription Documents to Katalyst Securities as provided herein, and in any event on or prior to the Closing Date, the Subscriber shall deliver directly to Delaware Trust Company, in its capacity as escrow agent (the “</w:t>
      </w:r>
      <w:r>
        <w:rPr>
          <w:rFonts w:ascii="Arial" w:cs="Arial" w:eastAsia="Arial" w:hAnsi="Arial"/>
          <w:sz w:val="17"/>
          <w:szCs w:val="17"/>
          <w:i w:val="1"/>
          <w:iCs w:val="1"/>
          <w:u w:val="single" w:color="auto"/>
          <w:color w:val="auto"/>
        </w:rPr>
        <w:t>Escrow</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Agent</w:t>
      </w:r>
      <w:r>
        <w:rPr>
          <w:rFonts w:ascii="Arial" w:cs="Arial" w:eastAsia="Arial" w:hAnsi="Arial"/>
          <w:sz w:val="17"/>
          <w:szCs w:val="17"/>
          <w:color w:val="auto"/>
        </w:rPr>
        <w:t>”), the full Purchase Price by certified or other bank check or by wire transfer of immediately available funds, pursuant to the instructions</w:t>
      </w:r>
      <w:r>
        <w:rPr>
          <w:rFonts w:ascii="Arial" w:cs="Arial" w:eastAsia="Arial" w:hAnsi="Arial"/>
          <w:sz w:val="17"/>
          <w:szCs w:val="17"/>
          <w:i w:val="1"/>
          <w:iCs w:val="1"/>
          <w:color w:val="auto"/>
        </w:rPr>
        <w:t xml:space="preserve"> </w:t>
      </w:r>
      <w:r>
        <w:rPr>
          <w:rFonts w:ascii="Arial" w:cs="Arial" w:eastAsia="Arial" w:hAnsi="Arial"/>
          <w:sz w:val="17"/>
          <w:szCs w:val="17"/>
          <w:color w:val="auto"/>
        </w:rPr>
        <w:t>set forth under the caption “</w:t>
      </w:r>
      <w:r>
        <w:rPr>
          <w:rFonts w:ascii="Arial" w:cs="Arial" w:eastAsia="Arial" w:hAnsi="Arial"/>
          <w:sz w:val="17"/>
          <w:szCs w:val="17"/>
          <w:i w:val="1"/>
          <w:iCs w:val="1"/>
          <w:color w:val="auto"/>
        </w:rPr>
        <w:t>How to subscribe for Units in the private offering of TapImmune Inc.</w:t>
      </w:r>
      <w:r>
        <w:rPr>
          <w:rFonts w:ascii="Arial" w:cs="Arial" w:eastAsia="Arial" w:hAnsi="Arial"/>
          <w:sz w:val="17"/>
          <w:szCs w:val="17"/>
          <w:color w:val="auto"/>
        </w:rPr>
        <w:t>” below. Such funds will be held for the Subscriber’s benefit and will be returned promptly, without interest or offset, if this Subscription Agreement is not accepted by the Company or the Offering is terminated pursuant to its terms by the Company prior to the Closing as defined herein.</w:t>
      </w:r>
    </w:p>
    <w:p>
      <w:pPr>
        <w:spacing w:after="0" w:line="178"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Company Discretion</w:t>
      </w:r>
      <w:r>
        <w:rPr>
          <w:rFonts w:ascii="Arial" w:cs="Arial" w:eastAsia="Arial" w:hAnsi="Arial"/>
          <w:sz w:val="18"/>
          <w:szCs w:val="18"/>
          <w:color w:val="auto"/>
        </w:rPr>
        <w:t>. The Subscriber understands and agrees that the Company in its sole discretion reserves the right to accept or reject this or any other subscription for Units, in whole or in part, notwithstanding prior receipt by the Subscriber of notice of acceptance of this subscription. The Company shall have no obligation hereunder until the Company shall execute and deliver to the Subscriber an executed copy of this Agreement. If this subscription is rejected in whole, or the Offering is terminated, all funds received from the Subscriber will be returned without interest or offset, and this Agreement shall thereafter be of no further force or effect. If this subscription is rejected in part, the funds for the rejected portion of this subscription will be returned without interest or offset, and this Agreement will continue in full force and effect to the extent this subscription was accepted.</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ind w:left="660" w:hanging="652"/>
        <w:spacing w:after="0" w:line="27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 xml:space="preserve">Placement Agent. </w:t>
      </w:r>
      <w:r>
        <w:rPr>
          <w:rFonts w:ascii="Arial" w:cs="Arial" w:eastAsia="Arial" w:hAnsi="Arial"/>
          <w:sz w:val="17"/>
          <w:szCs w:val="17"/>
          <w:color w:val="auto"/>
        </w:rPr>
        <w:t>Katalyst Securities LLC, a broker-dealer licensed with Financial Industry Regularity Authority (“</w:t>
      </w:r>
      <w:r>
        <w:rPr>
          <w:rFonts w:ascii="Arial" w:cs="Arial" w:eastAsia="Arial" w:hAnsi="Arial"/>
          <w:sz w:val="17"/>
          <w:szCs w:val="17"/>
          <w:i w:val="1"/>
          <w:iCs w:val="1"/>
          <w:u w:val="single" w:color="auto"/>
          <w:color w:val="auto"/>
        </w:rPr>
        <w:t>FINRA</w:t>
      </w:r>
      <w:r>
        <w:rPr>
          <w:rFonts w:ascii="Arial" w:cs="Arial" w:eastAsia="Arial" w:hAnsi="Arial"/>
          <w:sz w:val="17"/>
          <w:szCs w:val="17"/>
          <w:color w:val="auto"/>
        </w:rPr>
        <w:t>”), has been engaged as</w:t>
      </w:r>
      <w:r>
        <w:rPr>
          <w:rFonts w:ascii="Arial" w:cs="Arial" w:eastAsia="Arial" w:hAnsi="Arial"/>
          <w:sz w:val="17"/>
          <w:szCs w:val="17"/>
          <w:b w:val="1"/>
          <w:bCs w:val="1"/>
          <w:color w:val="auto"/>
        </w:rPr>
        <w:t xml:space="preserve"> </w:t>
      </w:r>
      <w:r>
        <w:rPr>
          <w:rFonts w:ascii="Arial" w:cs="Arial" w:eastAsia="Arial" w:hAnsi="Arial"/>
          <w:sz w:val="17"/>
          <w:szCs w:val="17"/>
          <w:color w:val="auto"/>
        </w:rPr>
        <w:t>the exclusive placement agent for the Offering on a reasonable best efforts basis. The Placement Agent may sell Units through other broker dealers who are FINRA members (collectively the “Sub Agents”). The Placement Agent and its sub-agents will be paid at closing a cash commission of Ten Percent (10%) of funds raised from investors in the Offering introduced by them (“</w:t>
      </w:r>
      <w:r>
        <w:rPr>
          <w:rFonts w:ascii="Arial" w:cs="Arial" w:eastAsia="Arial" w:hAnsi="Arial"/>
          <w:sz w:val="17"/>
          <w:szCs w:val="17"/>
          <w:i w:val="1"/>
          <w:iCs w:val="1"/>
          <w:u w:val="single" w:color="auto"/>
          <w:color w:val="auto"/>
        </w:rPr>
        <w:t>Placement Agent Cash Fee</w:t>
      </w:r>
      <w:r>
        <w:rPr>
          <w:rFonts w:ascii="Arial" w:cs="Arial" w:eastAsia="Arial" w:hAnsi="Arial"/>
          <w:sz w:val="17"/>
          <w:szCs w:val="17"/>
          <w:color w:val="auto"/>
        </w:rPr>
        <w:t>”) and will receive warrants to purchase a number of Shares of Common Stock equal to Ten Percent (10%) of the amount of Common Stock sold in the Offering, which warrants will be on the same terms as the Investor Warrants (the “</w:t>
      </w:r>
      <w:r>
        <w:rPr>
          <w:rFonts w:ascii="Arial" w:cs="Arial" w:eastAsia="Arial" w:hAnsi="Arial"/>
          <w:sz w:val="17"/>
          <w:szCs w:val="17"/>
          <w:i w:val="1"/>
          <w:iCs w:val="1"/>
          <w:u w:val="single" w:color="auto"/>
          <w:color w:val="auto"/>
        </w:rPr>
        <w:t>Placement Agent Warrants</w:t>
      </w:r>
      <w:r>
        <w:rPr>
          <w:rFonts w:ascii="Arial" w:cs="Arial" w:eastAsia="Arial" w:hAnsi="Arial"/>
          <w:sz w:val="17"/>
          <w:szCs w:val="17"/>
          <w:color w:val="auto"/>
        </w:rPr>
        <w:t>”) (collectively referred to as the “</w:t>
      </w:r>
      <w:r>
        <w:rPr>
          <w:rFonts w:ascii="Arial" w:cs="Arial" w:eastAsia="Arial" w:hAnsi="Arial"/>
          <w:sz w:val="17"/>
          <w:szCs w:val="17"/>
          <w:i w:val="1"/>
          <w:iCs w:val="1"/>
          <w:u w:val="single" w:color="auto"/>
          <w:color w:val="auto"/>
        </w:rPr>
        <w:t>Placement Agent Fee</w:t>
      </w:r>
      <w:r>
        <w:rPr>
          <w:rFonts w:ascii="Arial" w:cs="Arial" w:eastAsia="Arial" w:hAnsi="Arial"/>
          <w:sz w:val="17"/>
          <w:szCs w:val="17"/>
          <w:i w:val="1"/>
          <w:iCs w:val="1"/>
          <w:color w:val="auto"/>
        </w:rPr>
        <w:t>”).</w:t>
      </w:r>
      <w:r>
        <w:rPr>
          <w:rFonts w:ascii="Arial" w:cs="Arial" w:eastAsia="Arial" w:hAnsi="Arial"/>
          <w:sz w:val="17"/>
          <w:szCs w:val="17"/>
          <w:color w:val="auto"/>
        </w:rPr>
        <w:t xml:space="preserve"> The Placement Agent Warrants and the Investor Warrants are referred to collectively herein as the “</w:t>
      </w:r>
      <w:r>
        <w:rPr>
          <w:rFonts w:ascii="Arial" w:cs="Arial" w:eastAsia="Arial" w:hAnsi="Arial"/>
          <w:sz w:val="17"/>
          <w:szCs w:val="17"/>
          <w:i w:val="1"/>
          <w:iCs w:val="1"/>
          <w:u w:val="single" w:color="auto"/>
          <w:color w:val="auto"/>
        </w:rPr>
        <w:t>Warrants</w:t>
      </w:r>
      <w:r>
        <w:rPr>
          <w:rFonts w:ascii="Arial" w:cs="Arial" w:eastAsia="Arial" w:hAnsi="Arial"/>
          <w:sz w:val="17"/>
          <w:szCs w:val="17"/>
          <w:color w:val="auto"/>
        </w:rPr>
        <w:t>.” Any sub-agent of this Placement Agent that introduces investors to the Offering will be entitled to share in the Placement Agent Cash Fee and Placement Agent Warrants attributable to those investors as described above, pursuant to the terms of an executed sub-agent agreement. The Company will pay the Placement Agent a non-accountable expense allowance of $50,000 in connection with the Offering from the proceeds in the Escrow Account upon the closing of the Offering.</w:t>
      </w:r>
    </w:p>
    <w:p>
      <w:pPr>
        <w:spacing w:after="0" w:line="174" w:lineRule="exact"/>
        <w:rPr>
          <w:rFonts w:ascii="Arial" w:cs="Arial" w:eastAsia="Arial" w:hAnsi="Arial"/>
          <w:sz w:val="17"/>
          <w:szCs w:val="17"/>
          <w:color w:val="auto"/>
        </w:rPr>
      </w:pPr>
    </w:p>
    <w:p>
      <w:pPr>
        <w:ind w:left="660" w:right="20" w:hanging="652"/>
        <w:spacing w:after="0" w:line="28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of the Company</w:t>
      </w:r>
      <w:r>
        <w:rPr>
          <w:rFonts w:ascii="Arial" w:cs="Arial" w:eastAsia="Arial" w:hAnsi="Arial"/>
          <w:sz w:val="18"/>
          <w:szCs w:val="18"/>
          <w:color w:val="auto"/>
        </w:rPr>
        <w:t>. The Company hereby represents and warrants to the Subscriber, as of the Closing Date (unless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specified), the following:</w:t>
      </w:r>
    </w:p>
    <w:p>
      <w:pPr>
        <w:spacing w:after="0" w:line="16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its subsidiaries is a corporation or other business entity duly organized and validly existing in good standing under the laws of the jurisdiction of its formation, and has the requisite corporate power to own its properties and to carry on its business as now being conducted. The Company and each of its subsidiaries is duly qualified as a foreign corporation to do business and is in good standing in every jurisdiction in which the nature of the business conducted by it makes such qualification necessary, except to the extent that the failure to be so qualified or be in good standing would not have a material adverse effect on the assets, business, condition (financial or otherwise), results of operations or future prospects of the Company and its subsidiaries taken as a whole (a “</w:t>
      </w:r>
      <w:r>
        <w:rPr>
          <w:rFonts w:ascii="Arial" w:cs="Arial" w:eastAsia="Arial" w:hAnsi="Arial"/>
          <w:sz w:val="18"/>
          <w:szCs w:val="18"/>
          <w:i w:val="1"/>
          <w:iCs w:val="1"/>
          <w:u w:val="single" w:color="auto"/>
          <w:color w:val="auto"/>
        </w:rPr>
        <w:t>Material Adverse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Effect</w:t>
      </w:r>
      <w:r>
        <w:rPr>
          <w:rFonts w:ascii="Arial" w:cs="Arial" w:eastAsia="Arial" w:hAnsi="Arial"/>
          <w:sz w:val="18"/>
          <w:szCs w:val="18"/>
          <w:color w:val="auto"/>
        </w:rPr>
        <w:t>”). The Company has no material subsidiaries.</w:t>
      </w:r>
    </w:p>
    <w:p>
      <w:pPr>
        <w:spacing w:after="0" w:line="189" w:lineRule="exact"/>
        <w:rPr>
          <w:rFonts w:ascii="Arial" w:cs="Arial" w:eastAsia="Arial" w:hAnsi="Arial"/>
          <w:sz w:val="18"/>
          <w:szCs w:val="18"/>
          <w:color w:val="auto"/>
        </w:rPr>
      </w:pPr>
    </w:p>
    <w:p>
      <w:pPr>
        <w:jc w:val="both"/>
        <w:ind w:left="980" w:hanging="324"/>
        <w:spacing w:after="0" w:line="287"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Compliance with Other Instruments</w:t>
      </w:r>
      <w:r>
        <w:rPr>
          <w:rFonts w:ascii="Arial" w:cs="Arial" w:eastAsia="Arial" w:hAnsi="Arial"/>
          <w:sz w:val="16"/>
          <w:szCs w:val="16"/>
          <w:color w:val="auto"/>
        </w:rPr>
        <w:t>. (i) The Company has the requisite corporate power and authority to enter into and perform its obligations under this Agreement, the Registration Rights Agreement, the Warrants and each of the other agreements and documents that are exhibits hereto or thereto or are contemplated hereby or thereby or necessary or desirable to effect the transactions contemplated hereby or thereby (the “</w:t>
      </w:r>
      <w:r>
        <w:rPr>
          <w:rFonts w:ascii="Arial" w:cs="Arial" w:eastAsia="Arial" w:hAnsi="Arial"/>
          <w:sz w:val="16"/>
          <w:szCs w:val="16"/>
          <w:i w:val="1"/>
          <w:iCs w:val="1"/>
          <w:u w:val="single" w:color="auto"/>
          <w:color w:val="auto"/>
        </w:rPr>
        <w:t>Transaction Documents</w:t>
      </w:r>
      <w:r>
        <w:rPr>
          <w:rFonts w:ascii="Arial" w:cs="Arial" w:eastAsia="Arial" w:hAnsi="Arial"/>
          <w:sz w:val="16"/>
          <w:szCs w:val="16"/>
          <w:color w:val="auto"/>
        </w:rPr>
        <w:t>”) and to issue the Shares and Warrants, in accordance with the terms hereof and thereof, (ii) the execution and delivery by the Company of each of the Transaction Documents and the consummation by it of the transactions contemplated hereby and thereby, including, without limitation, the issuance of the Shares and Warrants, have been, or will be at the time of execution of such Transaction Document, duly authorized by the Company’s Board of Directors, and no further consent or authorization is, or will be at the time of execution of such Transaction Document, required by the Company, its respective Board of Directors or its stockholders, (iii) each of the Transaction Documents will be duly executed and delivered by the Company, (iv) the Transaction Documents when executed will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ind w:left="324" w:hanging="324"/>
        <w:spacing w:after="0" w:line="285"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the Company consists of 41,666,667 Shares of Common Stock and 5,000,000 shares of preferred stock. As of May 4, 2017, the Company had 8,470,833 Shares of Common Stock and no preferred stock issued and outstanding. All of the outstanding Shares of Common Stock and of the stock of each of the Company’s subsidiaries have been duly authorized, validly issued and are fully paid and nonassessable. Except as described in the reports, schedules, forms, statements and other documents filed with the Securities and Exchange Commission (the “SEC”) by the Company (“SEC Reports”): (i) no Shares of capital stock of the Company or any of its subsidiaries are (and the Shares will not be) subject to preemptive rights or any other similar rights or any liens or encumbrances suffered or permitted by the Company; (ii)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(iii) there are no outstanding debt securities of the Company or its subsidiaries, (iv) there are no agreements or arrangements under which the Company or any of its subsidiaries is obligated to register the sale of any of their securities under the Securities Act, (v) there are no registration statements that have been filed but are not yet effective relating to securities of the Company, or any outstanding comment letters from the SEC or any other regulatory agency; (vi) there are no securities or instruments containing anti-dilution or similar provisions, including the right to adjust the exercise, exchange or reset price under such securities, that will be triggered by the issuance of the Units as described in this Agreement; and (vii) no co-sale rights, rights of first refusal or other similar rights exist with respect to the Units or the issuance and sale thereof. Upon request, the Company will make available to the Subscriber true and correct copies of the Company’s Articles of Incorporation, and as in effect on the date hereof (the “</w:t>
      </w:r>
      <w:r>
        <w:rPr>
          <w:rFonts w:ascii="Arial" w:cs="Arial" w:eastAsia="Arial" w:hAnsi="Arial"/>
          <w:sz w:val="16"/>
          <w:szCs w:val="16"/>
          <w:i w:val="1"/>
          <w:iCs w:val="1"/>
          <w:u w:val="single" w:color="auto"/>
          <w:color w:val="auto"/>
        </w:rPr>
        <w:t>Articles of Incorporation</w:t>
      </w:r>
      <w:r>
        <w:rPr>
          <w:rFonts w:ascii="Arial" w:cs="Arial" w:eastAsia="Arial" w:hAnsi="Arial"/>
          <w:sz w:val="16"/>
          <w:szCs w:val="16"/>
          <w:color w:val="auto"/>
        </w:rPr>
        <w:t>”), and the Company’s By-laws, as in effect on the date hereof (the “</w:t>
      </w:r>
      <w:r>
        <w:rPr>
          <w:rFonts w:ascii="Arial" w:cs="Arial" w:eastAsia="Arial" w:hAnsi="Arial"/>
          <w:sz w:val="16"/>
          <w:szCs w:val="16"/>
          <w:i w:val="1"/>
          <w:iCs w:val="1"/>
          <w:u w:val="single" w:color="auto"/>
          <w:color w:val="auto"/>
        </w:rPr>
        <w:t>By-laws</w:t>
      </w:r>
      <w:r>
        <w:rPr>
          <w:rFonts w:ascii="Arial" w:cs="Arial" w:eastAsia="Arial" w:hAnsi="Arial"/>
          <w:sz w:val="16"/>
          <w:szCs w:val="16"/>
          <w:color w:val="auto"/>
        </w:rPr>
        <w:t>”), and the terms of all securities exercisable for Common Stock and the material rights of the holders thereof in respect thereto.</w:t>
      </w:r>
    </w:p>
    <w:p>
      <w:pPr>
        <w:spacing w:after="0" w:line="388" w:lineRule="exact"/>
        <w:rPr>
          <w:rFonts w:ascii="Arial" w:cs="Arial" w:eastAsia="Arial" w:hAnsi="Arial"/>
          <w:sz w:val="16"/>
          <w:szCs w:val="16"/>
          <w:color w:val="auto"/>
        </w:rPr>
      </w:pPr>
    </w:p>
    <w:p>
      <w:pPr>
        <w:jc w:val="both"/>
        <w:ind w:left="324" w:hanging="324"/>
        <w:spacing w:after="0" w:line="312"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Issuance of Shares and Warrant Shares</w:t>
      </w:r>
      <w:r>
        <w:rPr>
          <w:rFonts w:ascii="Arial" w:cs="Arial" w:eastAsia="Arial" w:hAnsi="Arial"/>
          <w:sz w:val="16"/>
          <w:szCs w:val="16"/>
          <w:color w:val="auto"/>
        </w:rPr>
        <w:t>. The Shares and the Common Stock underlying the Investor Warrants and the Placement Agent Warrants (“</w:t>
      </w:r>
      <w:r>
        <w:rPr>
          <w:rFonts w:ascii="Arial" w:cs="Arial" w:eastAsia="Arial" w:hAnsi="Arial"/>
          <w:sz w:val="16"/>
          <w:szCs w:val="16"/>
          <w:i w:val="1"/>
          <w:iCs w:val="1"/>
          <w:u w:val="single" w:color="auto"/>
          <w:color w:val="auto"/>
        </w:rPr>
        <w:t>Warrant Shares</w:t>
      </w:r>
      <w:r>
        <w:rPr>
          <w:rFonts w:ascii="Arial" w:cs="Arial" w:eastAsia="Arial" w:hAnsi="Arial"/>
          <w:sz w:val="16"/>
          <w:szCs w:val="16"/>
          <w:color w:val="auto"/>
        </w:rPr>
        <w:t>”) are duly authorized and, upon issuance in accordance with the terms hereof and the terms of the Warrants, as applicable, shall be duly issued, fully paid and nonassessable, and are free from all taxes, liens and charges with respect to the issue thereof.</w:t>
      </w:r>
    </w:p>
    <w:p>
      <w:pPr>
        <w:spacing w:after="0" w:line="146" w:lineRule="exact"/>
        <w:rPr>
          <w:rFonts w:ascii="Arial" w:cs="Arial" w:eastAsia="Arial" w:hAnsi="Arial"/>
          <w:sz w:val="16"/>
          <w:szCs w:val="16"/>
          <w:color w:val="auto"/>
        </w:rPr>
      </w:pPr>
    </w:p>
    <w:p>
      <w:pPr>
        <w:jc w:val="both"/>
        <w:ind w:left="324" w:hanging="324"/>
        <w:spacing w:after="0" w:line="284"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each of the Transaction Documents by the Company, and the consummation by the Company of the transactions contemplated hereby and thereby will not (i) result in a violation of the Articles of Incorporation or the By-laws (or equivalent constitutive document) of the Company or any of its subsidiaries or (ii) violate or conflict with, or result in a breach of any provision of, or constitute a default (or an event which with notice or lapse of time or both would become a default) under, or give to others any rights of termination, amendment, acceleration or cancellation of, any agreement, indenture or instrument to which the Company or any subsidiary is a party, except for those which would not reasonably be expected to have a Material Adverse Effect, or (iii) result in a material violation of any law, rule, regulation, order, judgment or decree (including U.S. federal and state securities laws and regulations) applicable to the Company or any subsidiary or by which any property or asset of the Company or any subsidiary is bound or affected. Neither the Company nor any subsidiary is in violation of any term of or in default under its Articles of Incorporation or By-laws. Except for those violations or defaults which would not reasonably be expected to have a Material Adverse Effect, neither the Company nor any subsidiary is in violation of any term of or in default under any material contract, agreement, mortgage, indebtedness, indenture, instrument, judgment, decree or order or any statute, rule or regulation applicable to the Company or any subsidiary. The business of the Company and its subsidiaries is not being conducted, and shall not be conducted in violation of any law, ordinance, or regulation of any governmental entity, except for any violation which would not reasonably be expected, individually or in the aggregate, to have a Material Adverse Effect. Except as specifically contemplated by this Agreement and as required under the Securities Act and any applicable state securities laws, neither the Company nor any of its subsidiaries is required to obtain any consent, authorization or order of, or make any filing or registration with, any court or governmental agency in order for it to execute, deliver or perform any of its obligations under or contemplated by this Agreement or the other Transaction Documents in accordance with the terms hereof or thereof. Neither the execution and delivery by the Company of the Transaction Documents, nor the consummation by the Company of the transactions contemplated hereby or thereby, will require any notice, consent or waiver under any contract or instrument to which the Company or any subsidiary is a party or by which the Company or any subsidiary is bound or to which any of their assets is subject. All consents, authorizations, orders, filings and registrations which the Company or any of its subsidiaries is required to obtain pursuant to the preceding two sentences have been or will be obtained or effected on or prior to the Closing. The Company is unaware of any facts or circumstance, which might give rise to any of the foregoing.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5" w:name="page36"/>
    <w:bookmarkEnd w:id="35"/>
    <w:p>
      <w:pPr>
        <w:jc w:val="both"/>
        <w:ind w:left="324" w:hanging="324"/>
        <w:spacing w:after="0" w:line="286" w:lineRule="auto"/>
        <w:tabs>
          <w:tab w:leader="none" w:pos="32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Absence of Litigation</w:t>
      </w:r>
      <w:r>
        <w:rPr>
          <w:rFonts w:ascii="Arial" w:cs="Arial" w:eastAsia="Arial" w:hAnsi="Arial"/>
          <w:sz w:val="17"/>
          <w:szCs w:val="17"/>
          <w:color w:val="auto"/>
        </w:rPr>
        <w:t>. Except as described in the SEC Reports, there is no action, suit, claim, inquiry, notice of violation, proceeding or investigation before or by any court, public board, governmental or administrative agency, self-regulatory organization or body now pending or, to the knowledge of the Company, threatened, against or affecting the Company or any of its subsidiaries.</w:t>
      </w:r>
    </w:p>
    <w:p>
      <w:pPr>
        <w:spacing w:after="0" w:line="165" w:lineRule="exact"/>
        <w:rPr>
          <w:rFonts w:ascii="Arial" w:cs="Arial" w:eastAsia="Arial" w:hAnsi="Arial"/>
          <w:sz w:val="17"/>
          <w:szCs w:val="17"/>
          <w:color w:val="auto"/>
        </w:rPr>
      </w:pPr>
    </w:p>
    <w:p>
      <w:pPr>
        <w:ind w:left="324" w:hanging="324"/>
        <w:spacing w:after="0" w:line="342" w:lineRule="auto"/>
        <w:tabs>
          <w:tab w:leader="none" w:pos="32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Subscriber’s Purchase of the Units</w:t>
      </w:r>
      <w:r>
        <w:rPr>
          <w:rFonts w:ascii="Arial" w:cs="Arial" w:eastAsia="Arial" w:hAnsi="Arial"/>
          <w:sz w:val="16"/>
          <w:szCs w:val="16"/>
          <w:color w:val="auto"/>
        </w:rPr>
        <w:t>. The Company acknowledges and agrees that each Subscriber is acting solely in the capacity of an arm’s length purchaser with respect to the Transaction Documents and the transactions contemplated hereby and thereby.</w:t>
      </w:r>
    </w:p>
    <w:p>
      <w:pPr>
        <w:spacing w:after="0" w:line="123" w:lineRule="exact"/>
        <w:rPr>
          <w:rFonts w:ascii="Arial" w:cs="Arial" w:eastAsia="Arial" w:hAnsi="Arial"/>
          <w:sz w:val="16"/>
          <w:szCs w:val="16"/>
          <w:color w:val="auto"/>
        </w:rPr>
      </w:pPr>
    </w:p>
    <w:p>
      <w:pPr>
        <w:jc w:val="both"/>
        <w:ind w:left="324" w:hanging="324"/>
        <w:spacing w:after="0" w:line="264" w:lineRule="auto"/>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General Solicitation</w:t>
      </w:r>
      <w:r>
        <w:rPr>
          <w:rFonts w:ascii="Arial" w:cs="Arial" w:eastAsia="Arial" w:hAnsi="Arial"/>
          <w:sz w:val="18"/>
          <w:szCs w:val="18"/>
          <w:color w:val="auto"/>
        </w:rPr>
        <w:t>. Neither the Company, nor any of its affiliates, nor, to the knowledge of the Company, any person acting on its or their behalf, has engaged in any form of general solicitation or general advertising (within the meaning of Regulation D) in connection with the offer or sale of the Units.</w:t>
      </w:r>
    </w:p>
    <w:p>
      <w:pPr>
        <w:spacing w:after="0" w:line="181"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Neither the Company, nor any of its affiliates, nor to the knowledge of the Company, any person acting on its or their behalf has, directly or indirectly, made any offers or sales of any security or solicited any offers to buy any security, under circumstances that would require registration of the Units under the Securities Act or cause this offering of the Units to be integrated with prior offerings by the Company for purposes of the Securities Act.</w:t>
      </w:r>
    </w:p>
    <w:p>
      <w:pPr>
        <w:spacing w:after="0" w:line="186" w:lineRule="exact"/>
        <w:rPr>
          <w:rFonts w:ascii="Arial" w:cs="Arial" w:eastAsia="Arial" w:hAnsi="Arial"/>
          <w:sz w:val="18"/>
          <w:szCs w:val="18"/>
          <w:color w:val="auto"/>
        </w:rPr>
      </w:pPr>
    </w:p>
    <w:p>
      <w:pPr>
        <w:jc w:val="both"/>
        <w:ind w:left="324" w:hanging="324"/>
        <w:spacing w:after="0" w:line="259" w:lineRule="auto"/>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Employee Relations</w:t>
      </w:r>
      <w:r>
        <w:rPr>
          <w:rFonts w:ascii="Arial" w:cs="Arial" w:eastAsia="Arial" w:hAnsi="Arial"/>
          <w:sz w:val="18"/>
          <w:szCs w:val="18"/>
          <w:color w:val="auto"/>
        </w:rPr>
        <w:t>. Neither Company nor any of its subsidiaries is involved in any labor dispute nor, to the knowledge of the Company, is any such dispute threatened. Neither Company nor any subsidiary is party to any collective bargaining agreement. The Company’s and/or its subsidiaries’ employees are not members of any union, and the Company believes that its and its subsidiaries’ relationship with their respective employees is good.</w:t>
      </w:r>
    </w:p>
    <w:p>
      <w:pPr>
        <w:spacing w:after="0" w:line="186" w:lineRule="exact"/>
        <w:rPr>
          <w:rFonts w:ascii="Arial" w:cs="Arial" w:eastAsia="Arial" w:hAnsi="Arial"/>
          <w:sz w:val="18"/>
          <w:szCs w:val="18"/>
          <w:color w:val="auto"/>
        </w:rPr>
      </w:pPr>
    </w:p>
    <w:p>
      <w:pPr>
        <w:jc w:val="both"/>
        <w:ind w:left="324" w:hanging="324"/>
        <w:spacing w:after="0" w:line="273" w:lineRule="auto"/>
        <w:tabs>
          <w:tab w:leader="none" w:pos="32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Except as described in the SEC Reports, the Company and its subsidiaries own or possess sufficient rights to all patents, trademarks, domain names (whether or not registered) and any patentable improvements or copyrightable derivative works thereof, websites and intellectual property rights relating thereto, service marks, trade names, copyrights, licenses and authorizations, and all rights with respect to the foregoing, which are necessary for the conduct of its business as now conducted without any conflict with the rights of others except for such conflicts that would not result in a Material Adverse Effect. Neither Company nor any subsidiary has received any notice of infringement of, or conflict with, the asserted rights of others with respect to any intellectual property that it utilizes.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6" w:name="page37"/>
    <w:bookmarkEnd w:id="36"/>
    <w:p>
      <w:pPr>
        <w:ind w:left="980" w:hanging="324"/>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340" w:hanging="332"/>
        <w:spacing w:after="0" w:line="285" w:lineRule="auto"/>
        <w:tabs>
          <w:tab w:leader="none" w:pos="6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and each subsidiary has complied with all applicable Environmental Laws (as defined below), except for violations of Environmental Laws that, individually or in the aggregate, have not had and would not reasonably be expected to have a Material Adverse Effect. There is no pending or, to the knowledge of the Company, threatened civil or criminal litigation, written notice of violation, formal administrative proceeding, or investigation, inquiry or information request, relating to any Environmental Law involving the Company or any subsidiary, except for litigation, notices of violations, formal administrative proceedings or investigations, inquiries or information requests that, individually or in the aggregate, have not had and would not reasonably be expected to have a Material Adverse Effect. For purposes of this Agreement, “Environmental Law” means any national, state, provincial or local law, statute, rule or regulation or the common law relating to the environment or occupational health and safety, including without limitation any statute, regulation, administrative decision or order pertaining to (i) treatment, storage, disposal, generation and transportation of industrial, toxic or hazardous materials or substances or solid or hazardous waste; (ii) air, water and noise pollution; (iii) groundwater and soil contamination; (iv) the release or threatened release into the environment of industrial, toxic or hazardous materials or substances, or solid or hazardous waste, including without limitation emissions, discharges, injections, spills, escapes or dumping of pollutants, contaminants or chemicals; (v) the protection of wild life, marine life and wetlands, including without limitation all endangered and threatened species; (vi) storage tanks, vessels, containers, abandoned or discarded barrels, and other closed receptacles; (vii) health and safety of employees and other persons; and (viii) manufacturing, processing, using, distributing, treating, storing, disposing, transporting or handling of materials regulated under any law as pollutants, contaminants, toxic or hazardous materials or substances or oil or petroleum products or solid or hazardous waste. As used above, the terms “release” and “environment” shall have the meaning set forth in the Comprehensive Environmental Response, Compensation and Liability Act of 1980, as amended.</w:t>
      </w:r>
    </w:p>
    <w:p>
      <w:pPr>
        <w:spacing w:after="0" w:line="177" w:lineRule="exact"/>
        <w:rPr>
          <w:rFonts w:ascii="Arial" w:cs="Arial" w:eastAsia="Arial" w:hAnsi="Arial"/>
          <w:sz w:val="16"/>
          <w:szCs w:val="16"/>
          <w:color w:val="auto"/>
        </w:rPr>
      </w:pPr>
    </w:p>
    <w:p>
      <w:pPr>
        <w:ind w:left="340" w:right="20" w:hanging="332"/>
        <w:spacing w:after="0" w:line="277" w:lineRule="auto"/>
        <w:tabs>
          <w:tab w:leader="none" w:pos="6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knowledge of the Company there is no material environmental liability with respect to any solid or hazardous waste transporter or treatment, storage or disposal facility that has been used by the Company or any subsidiary.</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65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and its subsidiaries (i) have received all permits, licenses or other approvals required of them under applicable Environmental Laws to conduct their respective businesses except to the extent that the failure to have such permits, licenses or other approvals would not have a Material Adverse Effect and (ii) are in compliance, in all material respects, with all terms and conditions of any such permit, license or approval.</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ind w:left="324" w:hanging="324"/>
        <w:spacing w:after="0" w:line="284" w:lineRule="auto"/>
        <w:tabs>
          <w:tab w:leader="none" w:pos="32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Permits; Regulatory Compliance</w:t>
      </w:r>
      <w:r>
        <w:rPr>
          <w:rFonts w:ascii="Arial" w:cs="Arial" w:eastAsia="Arial" w:hAnsi="Arial"/>
          <w:sz w:val="16"/>
          <w:szCs w:val="16"/>
          <w:color w:val="auto"/>
        </w:rPr>
        <w:t>. The Company and its subsidiaries have all authorizations, approvals, clearances, licenses, permits, certificates or exemptions (including manufacturing approvals and authorizations, pricing and reimbursement approvals, labeling approvals, registration notifications or their foreign equivalent) issued by any regulatory authority or governmental agency (collectively, “</w:t>
      </w:r>
      <w:r>
        <w:rPr>
          <w:rFonts w:ascii="Arial" w:cs="Arial" w:eastAsia="Arial" w:hAnsi="Arial"/>
          <w:sz w:val="16"/>
          <w:szCs w:val="16"/>
          <w:i w:val="1"/>
          <w:iCs w:val="1"/>
          <w:u w:val="single" w:color="auto"/>
          <w:color w:val="auto"/>
        </w:rPr>
        <w:t>Permits</w:t>
      </w:r>
      <w:r>
        <w:rPr>
          <w:rFonts w:ascii="Arial" w:cs="Arial" w:eastAsia="Arial" w:hAnsi="Arial"/>
          <w:sz w:val="16"/>
          <w:szCs w:val="16"/>
          <w:color w:val="auto"/>
        </w:rPr>
        <w:t>”) required to conduct their respective businesses as currently conducted except to the extent that the failure to have such Permits would not have a Material Adverse Effect. The conduct of business by the Company complies, and at all times has substantially complied, in all material respects with the Food, Drug and Cosmetic Act of 1938, as amended and similar federal, state and foreign laws applicable to the evaluation, testing, manufacturing, distribution, advertising and marketing of each of the Company’s products, in whatever stage of development or commercialization except to the extent that the failure to so comply would not have a Material Adverse Effect. To the knowledge of the Company, as of the date hereof, neither the U.S. Food and Drug Administration (the “</w:t>
      </w:r>
      <w:r>
        <w:rPr>
          <w:rFonts w:ascii="Arial" w:cs="Arial" w:eastAsia="Arial" w:hAnsi="Arial"/>
          <w:sz w:val="16"/>
          <w:szCs w:val="16"/>
          <w:i w:val="1"/>
          <w:iCs w:val="1"/>
          <w:u w:val="single" w:color="auto"/>
          <w:color w:val="auto"/>
        </w:rPr>
        <w:t>FDA</w:t>
      </w:r>
      <w:r>
        <w:rPr>
          <w:rFonts w:ascii="Arial" w:cs="Arial" w:eastAsia="Arial" w:hAnsi="Arial"/>
          <w:sz w:val="16"/>
          <w:szCs w:val="16"/>
          <w:color w:val="auto"/>
        </w:rPr>
        <w:t>”) nor any comparable regulatory authority or governmental agency is considering limiting, suspending or revoking any such Permit or changing the classification or labeling of the products of the Company or any of its subsidiaries. To the knowledge of the Company, there is no false or misleading information or material omission in any product application or other submission by the Company or any of its subsidiaries to the FDA or any comparable regulatory authority or governmental agency. The Company or its subsidiaries have fulfilled and performed in all material respects their obligations under each Permit, and, as of the date hereof, to the knowledge of the Company, no event has occurred or condition or state of facts exists which would constitute a breach or default or would cause revocation or termination of any such Permit except to the extent that such breach, default, revocation or termination would not have a Material Adverse Effect. To the knowledge of the Company, any third party that is a manufacturer or contractor for the Company or any of its subsidiaries is in compliance in all material respects with all Permits insofar as they pertain to the manufacture of product components or products for the Company. The Company and its subsidiaries have not received any notice of adverse finding, warning letter, notice of violation, notice of action or any other notice from the FDA or other governmental agency alleging or asserting noncompliance with any applicable laws or Permits. The Company and its subsidiaries have made all notifications, submissions and reports required by applicable federal, state and foreign laws, except to the extent that the failure to make such notifications, submission or reports would not have a Material Adverse Effect.</w:t>
      </w:r>
    </w:p>
    <w:p>
      <w:pPr>
        <w:spacing w:after="0" w:line="181" w:lineRule="exact"/>
        <w:rPr>
          <w:rFonts w:ascii="Arial" w:cs="Arial" w:eastAsia="Arial" w:hAnsi="Arial"/>
          <w:sz w:val="16"/>
          <w:szCs w:val="16"/>
          <w:color w:val="auto"/>
        </w:rPr>
      </w:pPr>
    </w:p>
    <w:p>
      <w:pPr>
        <w:jc w:val="both"/>
        <w:ind w:left="324" w:hanging="324"/>
        <w:spacing w:after="0" w:line="297" w:lineRule="auto"/>
        <w:tabs>
          <w:tab w:leader="none" w:pos="324"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Neither the Company nor any of its subsidiaries owns any real property. Except as described in the SEC Reports, each of the Company and its subsidiaries has good and marketable title to all of its personal property and assets, free and clear of any material restriction, mortgage, deed of trust, pledge, lien, security interest or other charge, claim or encumbrance which would have a Material Adverse Effect. Except as described in the SEC Reports, with respect to properties and assets it leases, each of the Company and its subsidiaries is in material compliance with such leases and holds a valid leasehold interest free of any liens, claims or encumbrances which would have a Material Adverse Effect.</w:t>
      </w:r>
    </w:p>
    <w:p>
      <w:pPr>
        <w:spacing w:after="0" w:line="158" w:lineRule="exact"/>
        <w:rPr>
          <w:rFonts w:ascii="Arial" w:cs="Arial" w:eastAsia="Arial" w:hAnsi="Arial"/>
          <w:sz w:val="16"/>
          <w:szCs w:val="16"/>
          <w:color w:val="auto"/>
        </w:rPr>
      </w:pPr>
    </w:p>
    <w:p>
      <w:pPr>
        <w:ind w:left="324" w:hanging="324"/>
        <w:spacing w:after="0" w:line="277" w:lineRule="auto"/>
        <w:tabs>
          <w:tab w:leader="none" w:pos="32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Material Breaches</w:t>
      </w:r>
      <w:r>
        <w:rPr>
          <w:rFonts w:ascii="Arial" w:cs="Arial" w:eastAsia="Arial" w:hAnsi="Arial"/>
          <w:sz w:val="18"/>
          <w:szCs w:val="18"/>
          <w:color w:val="auto"/>
        </w:rPr>
        <w:t>. Neither Company nor any subsidiary is in breach of any contract or agreement which breach, in the judgment of the Company’s officers, has had, or could reasonably be expected to have, a Material Adverse Effect.</w:t>
      </w:r>
    </w:p>
    <w:p>
      <w:pPr>
        <w:spacing w:after="0" w:line="170" w:lineRule="exact"/>
        <w:rPr>
          <w:rFonts w:ascii="Arial" w:cs="Arial" w:eastAsia="Arial" w:hAnsi="Arial"/>
          <w:sz w:val="18"/>
          <w:szCs w:val="18"/>
          <w:color w:val="auto"/>
        </w:rPr>
      </w:pPr>
    </w:p>
    <w:p>
      <w:pPr>
        <w:jc w:val="both"/>
        <w:ind w:left="324" w:hanging="324"/>
        <w:spacing w:after="0" w:line="255" w:lineRule="auto"/>
        <w:tabs>
          <w:tab w:leader="none" w:pos="32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Certain Transactions</w:t>
      </w:r>
      <w:r>
        <w:rPr>
          <w:rFonts w:ascii="Arial" w:cs="Arial" w:eastAsia="Arial" w:hAnsi="Arial"/>
          <w:sz w:val="18"/>
          <w:szCs w:val="18"/>
          <w:color w:val="auto"/>
        </w:rPr>
        <w:t>. Except for arm’s length transactions pursuant to which the Company or any subsidiary makes payments in the ordinary course of business upon terms no less favorable than it could obtain from third parties, none of the officers, directors, or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substantial interest or is an officer, director, trustee or partner.</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8" w:name="page39"/>
    <w:bookmarkEnd w:id="38"/>
    <w:p>
      <w:pPr>
        <w:ind w:left="980" w:right="20" w:hanging="324"/>
        <w:spacing w:after="0" w:line="34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Rights of First Refusal</w:t>
      </w:r>
      <w:r>
        <w:rPr>
          <w:rFonts w:ascii="Arial" w:cs="Arial" w:eastAsia="Arial" w:hAnsi="Arial"/>
          <w:sz w:val="16"/>
          <w:szCs w:val="16"/>
          <w:color w:val="auto"/>
        </w:rPr>
        <w:t>. The Company is not obligated to offer the securities offered hereunder on a right of first refusal basis or otherwise to any third parties including, but not limited to, current or former stockholders of the Company, underwriters, brokers, agents or other third parties.</w:t>
      </w:r>
    </w:p>
    <w:p>
      <w:pPr>
        <w:spacing w:after="0" w:line="123"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insurance policies of the type and in amounts customarily carried by organizations conducting businesses or owning assets similar to those of the Company and its subsidiaries. There is no material claim pending under any such policy as to which coverage has been questioned, denied or disputed by the underwriter of such policy.</w:t>
      </w:r>
    </w:p>
    <w:p>
      <w:pPr>
        <w:spacing w:after="0" w:line="181" w:lineRule="exact"/>
        <w:rPr>
          <w:rFonts w:ascii="Arial" w:cs="Arial" w:eastAsia="Arial" w:hAnsi="Arial"/>
          <w:sz w:val="18"/>
          <w:szCs w:val="18"/>
          <w:color w:val="auto"/>
        </w:rPr>
      </w:pPr>
    </w:p>
    <w:p>
      <w:pPr>
        <w:jc w:val="both"/>
        <w:ind w:left="980" w:hanging="324"/>
        <w:spacing w:after="0" w:line="30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SEC Reports</w:t>
      </w:r>
      <w:r>
        <w:rPr>
          <w:rFonts w:ascii="Arial" w:cs="Arial" w:eastAsia="Arial" w:hAnsi="Arial"/>
          <w:sz w:val="16"/>
          <w:szCs w:val="16"/>
          <w:color w:val="auto"/>
        </w:rPr>
        <w:t>. The Company has filed all reports, schedules, forms, statements and other documents required to be filed by it with the Securities and Exchange Commission (the “</w:t>
      </w:r>
      <w:r>
        <w:rPr>
          <w:rFonts w:ascii="Arial" w:cs="Arial" w:eastAsia="Arial" w:hAnsi="Arial"/>
          <w:sz w:val="16"/>
          <w:szCs w:val="16"/>
          <w:i w:val="1"/>
          <w:iCs w:val="1"/>
          <w:u w:val="single" w:color="auto"/>
          <w:color w:val="auto"/>
        </w:rPr>
        <w:t>SEC</w:t>
      </w:r>
      <w:r>
        <w:rPr>
          <w:rFonts w:ascii="Arial" w:cs="Arial" w:eastAsia="Arial" w:hAnsi="Arial"/>
          <w:sz w:val="16"/>
          <w:szCs w:val="16"/>
          <w:color w:val="auto"/>
        </w:rPr>
        <w:t>”) under the Securities Exchange Act of 1934, as amended (the “</w:t>
      </w:r>
      <w:r>
        <w:rPr>
          <w:rFonts w:ascii="Arial" w:cs="Arial" w:eastAsia="Arial" w:hAnsi="Arial"/>
          <w:sz w:val="16"/>
          <w:szCs w:val="16"/>
          <w:i w:val="1"/>
          <w:iCs w:val="1"/>
          <w:u w:val="single" w:color="auto"/>
          <w:color w:val="auto"/>
        </w:rPr>
        <w:t>Exchange Act</w:t>
      </w:r>
      <w:r>
        <w:rPr>
          <w:rFonts w:ascii="Arial" w:cs="Arial" w:eastAsia="Arial" w:hAnsi="Arial"/>
          <w:sz w:val="16"/>
          <w:szCs w:val="16"/>
          <w:color w:val="auto"/>
        </w:rPr>
        <w:t>”), including pursuant to Section 13(a) or 15(d) thereof (or that it would be required to be filed by it if it were subject to the reporting requirements of such sections), for the two years preceding the date hereof (or such shorter period since the Company was first required by law or regulation to file such material).</w:t>
      </w:r>
    </w:p>
    <w:p>
      <w:pPr>
        <w:spacing w:after="0" w:line="154"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The Company does not have any liability or obligation to pay any fees or commissions to any broker, finder or agent with respect to the transactions contemplated by this Agreement, except for the payment of fees to any Placement Agent or brokers that have been or may be retained by the Company as described in Section 3 above.</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Disclosure Materials</w:t>
      </w:r>
      <w:r>
        <w:rPr>
          <w:rFonts w:ascii="Arial" w:cs="Arial" w:eastAsia="Arial" w:hAnsi="Arial"/>
          <w:sz w:val="17"/>
          <w:szCs w:val="17"/>
          <w:color w:val="auto"/>
        </w:rPr>
        <w:t>. The Disclosure Materials taken as a whole do not contain an untrue statement of a material fact or omit to state a material fact necessary to make the statements therein, in the light of the circumstances under which they were made, not misleading.</w:t>
      </w:r>
    </w:p>
    <w:p>
      <w:pPr>
        <w:spacing w:after="0" w:line="146" w:lineRule="exact"/>
        <w:rPr>
          <w:rFonts w:ascii="Arial" w:cs="Arial" w:eastAsia="Arial" w:hAnsi="Arial"/>
          <w:sz w:val="17"/>
          <w:szCs w:val="17"/>
          <w:color w:val="auto"/>
        </w:rPr>
      </w:pPr>
    </w:p>
    <w:p>
      <w:pPr>
        <w:jc w:val="both"/>
        <w:ind w:left="980" w:hanging="324"/>
        <w:spacing w:after="0" w:line="312"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Reliance</w:t>
      </w:r>
      <w:r>
        <w:rPr>
          <w:rFonts w:ascii="Arial" w:cs="Arial" w:eastAsia="Arial" w:hAnsi="Arial"/>
          <w:sz w:val="16"/>
          <w:szCs w:val="16"/>
          <w:color w:val="auto"/>
        </w:rPr>
        <w:t>. The Company acknowledges that the Subscriber is relying on the representations and warranties made by the Company hereunder and that such representations and warranties are a material inducement to the Subscriber purchasing the Units. The Company further acknowledges that without such representations and warranties of the Company made hereunder, the Subscribers would not enter into this Agreement.</w:t>
      </w:r>
    </w:p>
    <w:p>
      <w:pPr>
        <w:spacing w:after="0" w:line="142" w:lineRule="exact"/>
        <w:rPr>
          <w:rFonts w:ascii="Arial" w:cs="Arial" w:eastAsia="Arial" w:hAnsi="Arial"/>
          <w:sz w:val="16"/>
          <w:szCs w:val="16"/>
          <w:color w:val="auto"/>
        </w:rPr>
      </w:pPr>
    </w:p>
    <w:p>
      <w:pPr>
        <w:ind w:left="660" w:right="20" w:hanging="652"/>
        <w:spacing w:after="0" w:line="28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Warranties and Agreements of the Subscriber. </w:t>
      </w:r>
      <w:r>
        <w:rPr>
          <w:rFonts w:ascii="Arial" w:cs="Arial" w:eastAsia="Arial" w:hAnsi="Arial"/>
          <w:sz w:val="18"/>
          <w:szCs w:val="18"/>
          <w:color w:val="auto"/>
        </w:rPr>
        <w:t>The Subscriber represents and warrants to, and agrees with,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65"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Subscriber has the knowledge and experience in financial and business matters necessary to evaluate the merits and risks of its prospective investment in the Company, and has carefully reviewed and understands the risks of, and other considerations relating to, the purchase of Units and the tax consequences of the investment, and have the ability to bear the economic risks of the investment. The Subscriber can afford the loss of its entire investment.</w:t>
      </w:r>
    </w:p>
    <w:p>
      <w:pPr>
        <w:spacing w:after="0" w:line="186" w:lineRule="exact"/>
        <w:rPr>
          <w:rFonts w:ascii="Arial" w:cs="Arial" w:eastAsia="Arial" w:hAnsi="Arial"/>
          <w:sz w:val="18"/>
          <w:szCs w:val="18"/>
          <w:color w:val="auto"/>
        </w:rPr>
      </w:pPr>
    </w:p>
    <w:p>
      <w:pPr>
        <w:jc w:val="both"/>
        <w:ind w:left="980" w:hanging="324"/>
        <w:spacing w:after="0" w:line="270"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Subscriber is acquiring the Units for investment for its own account and not with the view to, or for resale in connection with, any distribution thereof. The Subscriber understands and acknowledges that the Units and the underlying Common Stock have not been registered under the Securities Act or any state securities laws, by reason of a specific exemption from the registration provisions of the Securities Act and applicable state securities laws, which depends upon, among other things, the bona fide nature of the investment intent as expressed herein. The Subscriber further represents that it does not have any contract, undertaking, agreement or arrangement with any person to sell, transfer or grant participation to any third person with respect to any of the Units. The Subscriber understands and acknowledges that the offering of the Units pursuant to this Agreement will not be registered under the Securities Act nor under the state securities laws on the ground that the sale provided for in this Agreement and the issuance of securities hereunder is exempt from the registration requirements of the Securities Act and any applicable state securities laws.</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left="324" w:hanging="324"/>
        <w:spacing w:after="0" w:line="259" w:lineRule="auto"/>
        <w:tabs>
          <w:tab w:leader="none" w:pos="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Subscriber is an “accredited investor” as defined in Rule 501 of Regulation D as promulgated by the SEC under the Securities Act, for the reason(s) specified on the </w:t>
      </w:r>
      <w:r>
        <w:rPr>
          <w:rFonts w:ascii="Arial" w:cs="Arial" w:eastAsia="Arial" w:hAnsi="Arial"/>
          <w:sz w:val="18"/>
          <w:szCs w:val="18"/>
          <w:b w:val="1"/>
          <w:bCs w:val="1"/>
          <w:u w:val="single" w:color="auto"/>
          <w:color w:val="auto"/>
        </w:rPr>
        <w:t>Accredited Investor Certification</w:t>
      </w:r>
      <w:r>
        <w:rPr>
          <w:rFonts w:ascii="Arial" w:cs="Arial" w:eastAsia="Arial" w:hAnsi="Arial"/>
          <w:sz w:val="18"/>
          <w:szCs w:val="18"/>
          <w:color w:val="auto"/>
        </w:rPr>
        <w:t xml:space="preserve"> attached hereto as completed by Subscriber, and Subscriber shall submit to the Company such further assurances of such status as may be reasonably requested by the Company. The Subscriber resides in the jurisdiction set forth on the Subscriber’s Omnibus Signature Page affixed hereto.</w:t>
      </w:r>
    </w:p>
    <w:p>
      <w:pPr>
        <w:spacing w:after="0" w:line="186" w:lineRule="exact"/>
        <w:rPr>
          <w:rFonts w:ascii="Arial" w:cs="Arial" w:eastAsia="Arial" w:hAnsi="Arial"/>
          <w:sz w:val="18"/>
          <w:szCs w:val="18"/>
          <w:color w:val="auto"/>
        </w:rPr>
      </w:pPr>
    </w:p>
    <w:p>
      <w:pPr>
        <w:jc w:val="both"/>
        <w:ind w:left="324" w:hanging="324"/>
        <w:spacing w:after="0" w:line="285"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Subscriber (i) if a natural person, represents that he or she is the greater of (A) 21 years of age or (B) the age of legal majority in his or her jurisdiction of residence, and has full power and authority to execute and deliver this Agreement and all other related agreements or certificates and to carry out the provisions hereof and thereof; (ii) if a corporation, partnership, or limited liability company or partnership, or association, joint stock company, trust, unincorporated organization or other entity, represents that such entity was not formed for the specific purpose of acquiring the Units, such entity is duly organized, validly existing and in good standing under the laws of the state or jurisdiction of its organization, the consummation of the transactions contemplated hereby is authorized by, and will not result in a violation of state law or its charter or other organizational documents, such entity has full power and authority to execute and deliver this Agreement and all other related agreements or certificates and to carry out the provisions hereof and thereof and to purchase and hold the Units, the execution and delivery of this Agreement has been duly authorized by all necessary action, this Agreement has been duly executed and delivered on behalf of such entity and is a legal, valid and binding obligation of such entity; or (iii) if executing this Agreement in a representative or fiduciary capacity, represents that it has full power and authority to execute and deliver this Agreement in such capacity and on behalf of the subscribing individual, ward, partnership, trust, estate, corporation, or limited liability company or partnership, or other entity for whom the Subscriber is executing this Agreement, and such individual, partnership, ward, trust, estate, corporation, or limited liability company or partnership, or other entity has full right and power to perform pursuant to this Agreement and make an investment in the Company, and represents that this Agreement constitutes a legal, valid and binding obligation of such entity. The execution and delivery of this Agreement will not violate or be in conflict with any order, judgment, injunction, agreement or controlling document to which the Subscriber is a party or by which it is bound.</w:t>
      </w:r>
    </w:p>
    <w:p>
      <w:pPr>
        <w:spacing w:after="0" w:line="177" w:lineRule="exact"/>
        <w:rPr>
          <w:rFonts w:ascii="Arial" w:cs="Arial" w:eastAsia="Arial" w:hAnsi="Arial"/>
          <w:sz w:val="16"/>
          <w:szCs w:val="16"/>
          <w:color w:val="auto"/>
        </w:rPr>
      </w:pPr>
    </w:p>
    <w:p>
      <w:pPr>
        <w:jc w:val="both"/>
        <w:ind w:left="324" w:hanging="324"/>
        <w:spacing w:after="0" w:line="254" w:lineRule="auto"/>
        <w:tabs>
          <w:tab w:leader="none" w:pos="3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Subscriber understands that the Units are being offered and sold to it in reliance on specific exemptions from the registration requirements of United States federal and state securities laws and that the Company is relying in part upon the truth and accuracy of, and such Subscriber’s compliance with, the representations, warranties, agreements, acknowledgments and understandings of such Subscriber set forth herein in order to determine the availability of such exemptions and the eligibility of such Subscriber to acquire such securities. The Subscriber further acknowledges and understands that the Company is relying on the representations and warranties made by the Subscriber hereunder and that such representations and warranties are a material inducement to the Company to sell the Units to the Subscriber. The Subscriber further acknowledges that without such representations and warranties of the Subscriber made hereunder, the Company would not enter into this Agreement with the Subscriber.</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0" w:name="page41"/>
    <w:bookmarkEnd w:id="40"/>
    <w:p>
      <w:pPr>
        <w:jc w:val="both"/>
        <w:ind w:left="324" w:hanging="324"/>
        <w:spacing w:after="0" w:line="264" w:lineRule="auto"/>
        <w:tabs>
          <w:tab w:leader="none" w:pos="3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Subscriber understands that no public market now exists, and there may never be a public market for, the Investor Warrants, that only a limited public market for the Company’s Common Stock exists and that there can be no assurance that an active public market for the Common Stock will exist or continue to exist.</w:t>
      </w:r>
    </w:p>
    <w:p>
      <w:pPr>
        <w:spacing w:after="0" w:line="181" w:lineRule="exact"/>
        <w:rPr>
          <w:rFonts w:ascii="Arial" w:cs="Arial" w:eastAsia="Arial" w:hAnsi="Arial"/>
          <w:sz w:val="18"/>
          <w:szCs w:val="18"/>
          <w:color w:val="auto"/>
        </w:rPr>
      </w:pPr>
    </w:p>
    <w:p>
      <w:pPr>
        <w:jc w:val="both"/>
        <w:ind w:left="324" w:hanging="324"/>
        <w:spacing w:after="0" w:line="268" w:lineRule="auto"/>
        <w:tabs>
          <w:tab w:leader="none" w:pos="32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Subscriber has received and reviewed information about the Company, including the Disclosure Materials, and has had an opportunity to discuss the Company’s business, management and financial affairs with the Company’s management. The Subscriber understands that such discussions, as well as any Disclosure Materials provided by the Company, were intended to describe the aspects of the Company’s business and prospects which the Company believes to be material, but were not necessarily a thorough or exhaustive description, and except as expressly set forth in this Agreement, the Company makes no representation or warranty with respect to the completeness of such information and makes no representation or warranty of any kind with respect to any information provided by any entity other than the Company. Some of such information may include projections as to the future performance of the Company, which projections may not be realized, may be based on assumptions which may not be correct and may be subject to numerous factors beyond the Company’s control. Additionally, the Subscriber understands and represents that it is purchasing the Units notwithstanding the fact that the Company may disclose in the future certain material information the Subscriber has not received, including (without limitation) financial statements of the Company for the current or prior fiscal periods, and any subsequent period financial statements that will be filed with the SEC, that it is not relying on any such information in connection with its purchase of the Units and that it waives any right of action with respect to the nondisclosure to it prior to its purchase of the Units of any such information. Each Subscriber has sought such accounting, legal and tax advice as it has considered necessary to make an informed investment decision with respect to its acquisition of the Units.</w:t>
      </w:r>
    </w:p>
    <w:p>
      <w:pPr>
        <w:spacing w:after="0" w:line="185" w:lineRule="exact"/>
        <w:rPr>
          <w:rFonts w:ascii="Arial" w:cs="Arial" w:eastAsia="Arial" w:hAnsi="Arial"/>
          <w:sz w:val="17"/>
          <w:szCs w:val="17"/>
          <w:color w:val="auto"/>
        </w:rPr>
      </w:pPr>
    </w:p>
    <w:p>
      <w:pPr>
        <w:jc w:val="both"/>
        <w:ind w:left="324" w:hanging="324"/>
        <w:spacing w:after="0" w:line="293" w:lineRule="auto"/>
        <w:tabs>
          <w:tab w:leader="none" w:pos="3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Subscriber acknowledges that none of the Company or any Placement Agent or brokers that may be retained by the Company in connection with the Offering is acting as a financial advisor or fiduciary of the Subscriber (or in any similar capacity) with respect to the Transaction Documents and the transactions contemplated hereby and thereby, and no investment advice has been given by the Company or any Placement Agent or brokers that may be retained by the Company or any of its representatives or agents in connection with the Transaction Documents and the transactions contemplated hereby and thereby. The Subscriber further represents to the Company that the Subscriber’s decision to enter into the Transaction Documents has been based solely on the independent evaluation by the Subscriber and its representatives.</w:t>
      </w:r>
    </w:p>
    <w:p>
      <w:pPr>
        <w:spacing w:after="0" w:line="164" w:lineRule="exact"/>
        <w:rPr>
          <w:rFonts w:ascii="Arial" w:cs="Arial" w:eastAsia="Arial" w:hAnsi="Arial"/>
          <w:sz w:val="16"/>
          <w:szCs w:val="16"/>
          <w:color w:val="auto"/>
        </w:rPr>
      </w:pPr>
    </w:p>
    <w:p>
      <w:pPr>
        <w:jc w:val="both"/>
        <w:ind w:left="324" w:hanging="324"/>
        <w:spacing w:after="0" w:line="255" w:lineRule="auto"/>
        <w:tabs>
          <w:tab w:leader="none" w:pos="3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of the Closing, all actions on the part of Subscriber, and its officers, directors and partners, if applicable, necessary for the authorization, execution and delivery of this Agreement and the Registration Rights Agreement and the performance of all obligations of the Subscriber hereunder and thereunder shall have been taken, and this Agreement and the Registration Rights Agreement, assuming due execution by the parties hereto and thereto, constitute valid and legally binding obligations of the Subscriber, enforceable in accordance with their respective terms, subject to: (i) judicial principles limiting the availability of specific performance, injunctive relief, and other equitable remedies and (ii) bankruptcy, insolvency, reorganization, moratorium or other similar laws now or hereafter in effect generally relating to or affecting creditors’ rights.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41" w:name="page42"/>
    <w:bookmarkEnd w:id="41"/>
    <w:p>
      <w:pPr>
        <w:jc w:val="both"/>
        <w:ind w:left="324" w:hanging="324"/>
        <w:spacing w:after="0" w:line="267" w:lineRule="auto"/>
        <w:tabs>
          <w:tab w:leader="none" w:pos="3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Subscriber represents that neither it nor, to its knowledge, any person or entity controlling, controlled by or under common control with it, nor any person having a beneficial interest in it, nor any person on whose behalf the Subscriber is acting: (i) is a person listed in the Annex to Executive Order No. 13224 (2001) issued by the President of the United States (Executive Order Blocking Property and Prohibiting Transactions with Persons Who Commit, Threaten to Commit, or Support Terrorism); (ii) is named on the List of Specially Designated Nationals and Blocked Persons maintained by the U.S. Office of Foreign Assets Control; (iii) is a non-U.S. shell bank or is providing banking services indirectly to a non-U.S. shell bank; (iv) is a senior non-U.S. political figure or an immediate family member or close associate of such figure; or (v) is otherwise prohibited from investing in the Company pursuant to applicable U.S. anti-money laundering, anti-terrorist and asset control laws, regulations, rules or orders (categories (i) through (v), each a “</w:t>
      </w:r>
      <w:r>
        <w:rPr>
          <w:rFonts w:ascii="Arial" w:cs="Arial" w:eastAsia="Arial" w:hAnsi="Arial"/>
          <w:sz w:val="17"/>
          <w:szCs w:val="17"/>
          <w:i w:val="1"/>
          <w:iCs w:val="1"/>
          <w:u w:val="single" w:color="auto"/>
          <w:color w:val="auto"/>
        </w:rPr>
        <w:t>Prohibited Subscriber</w:t>
      </w:r>
      <w:r>
        <w:rPr>
          <w:rFonts w:ascii="Arial" w:cs="Arial" w:eastAsia="Arial" w:hAnsi="Arial"/>
          <w:sz w:val="17"/>
          <w:szCs w:val="17"/>
          <w:color w:val="auto"/>
        </w:rPr>
        <w:t>”). The Subscriber agrees to provide the Company, promptly upon request, all information that the Company reasonably deems necessary or appropriate to comply with applicable U.S. anti-money laundering, anti-terrorist and asset control laws, regulations, rules and orders. The Subscriber consents to the disclosure to U.S. regulators and law enforcement authorities by the Company and its affiliates and agents of such information about the Subscriber as the Company reasonably deems necessary or appropriate to comply with applicable U.S. antimony laundering, anti-terrorist and asset control laws, regulations, rules and orders. If the Subscriber is a financial institution that is subject to the USA Patriot Act, the Subscriber represents that it has met all of its obligations under the USA Patriot Act. The Subscriber acknowledges that if, following its investment in the Company, the Company reasonably believes that the Subscriber is a Prohibited Subscriber or is otherwise engaged in suspicious activity or refuses to promptly provide information that the Company requests, the Company has the right or may be obligated to prohibit additional investments, segregate the assets constituting the investment in accordance with applicable regulations or immediately require the Subscriber to transfer the Units. The Subscriber further acknowledges that the Subscriber will have no claim against the Company or any of its affiliates or agents for any form of damages as a result of any of the foregoing actions.</w:t>
      </w:r>
    </w:p>
    <w:p>
      <w:pPr>
        <w:spacing w:after="0" w:line="189" w:lineRule="exact"/>
        <w:rPr>
          <w:rFonts w:ascii="Arial" w:cs="Arial" w:eastAsia="Arial" w:hAnsi="Arial"/>
          <w:sz w:val="17"/>
          <w:szCs w:val="17"/>
          <w:color w:val="auto"/>
        </w:rPr>
      </w:pPr>
    </w:p>
    <w:p>
      <w:pPr>
        <w:jc w:val="both"/>
        <w:ind w:left="324"/>
        <w:spacing w:after="0" w:line="293" w:lineRule="auto"/>
        <w:rPr>
          <w:rFonts w:ascii="Arial" w:cs="Arial" w:eastAsia="Arial" w:hAnsi="Arial"/>
          <w:sz w:val="17"/>
          <w:szCs w:val="17"/>
          <w:color w:val="auto"/>
        </w:rPr>
      </w:pPr>
      <w:r>
        <w:rPr>
          <w:rFonts w:ascii="Arial" w:cs="Arial" w:eastAsia="Arial" w:hAnsi="Arial"/>
          <w:sz w:val="16"/>
          <w:szCs w:val="16"/>
          <w:color w:val="auto"/>
        </w:rPr>
        <w:t>If the Subscriber is affiliated with a non-U.S. banking institution (a “</w:t>
      </w:r>
      <w:r>
        <w:rPr>
          <w:rFonts w:ascii="Arial" w:cs="Arial" w:eastAsia="Arial" w:hAnsi="Arial"/>
          <w:sz w:val="16"/>
          <w:szCs w:val="16"/>
          <w:i w:val="1"/>
          <w:iCs w:val="1"/>
          <w:u w:val="single" w:color="auto"/>
          <w:color w:val="auto"/>
        </w:rPr>
        <w:t>Foreign Bank</w:t>
      </w:r>
      <w:r>
        <w:rPr>
          <w:rFonts w:ascii="Arial" w:cs="Arial" w:eastAsia="Arial" w:hAnsi="Arial"/>
          <w:sz w:val="16"/>
          <w:szCs w:val="16"/>
          <w:color w:val="auto"/>
        </w:rPr>
        <w:t>”), or if the Subscriber receives deposits from, makes payments on behalf of, or handles other financial transactions related to a Foreign Bank, the Subscriber represents and warrants to the Company that: (1) the Foreign Bank has a fixed address, other than solely an electronic address, in a country in which the Foreign Bank is authorized to conduct banking activities; (2) the Foreign Bank maintains operating records related to its banking activities; (3) the Foreign Bank is subject to inspection by the banking authority that licensed the Foreign Bank to conduct banking activities; and (4) the Foreign Bank does not provide banking services to any other Foreign Bank that does not have a physical presence in any country and that is not a regulated affiliate.</w:t>
      </w:r>
    </w:p>
    <w:p>
      <w:pPr>
        <w:spacing w:after="0" w:line="164" w:lineRule="exact"/>
        <w:rPr>
          <w:rFonts w:ascii="Arial" w:cs="Arial" w:eastAsia="Arial" w:hAnsi="Arial"/>
          <w:sz w:val="17"/>
          <w:szCs w:val="17"/>
          <w:color w:val="auto"/>
        </w:rPr>
      </w:pPr>
    </w:p>
    <w:p>
      <w:pPr>
        <w:jc w:val="both"/>
        <w:ind w:left="324" w:hanging="324"/>
        <w:spacing w:after="0" w:line="259" w:lineRule="auto"/>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Subscriber or its duly authorized representative realizes that because of the inherently speculative nature of businesses of the kind conducted and contemplated by the Company, the Company’s financial results may be expected to fluctuate from month to month and from period to period and will, generally, involve a high degree of financial and market risk that could result in substantial or, at times, even total losses for investors in securities of the Company.</w:t>
      </w:r>
    </w:p>
    <w:p>
      <w:pPr>
        <w:spacing w:after="0" w:line="186" w:lineRule="exact"/>
        <w:rPr>
          <w:rFonts w:ascii="Arial" w:cs="Arial" w:eastAsia="Arial" w:hAnsi="Arial"/>
          <w:sz w:val="18"/>
          <w:szCs w:val="18"/>
          <w:color w:val="auto"/>
        </w:rPr>
      </w:pPr>
    </w:p>
    <w:p>
      <w:pPr>
        <w:jc w:val="both"/>
        <w:ind w:left="324" w:hanging="324"/>
        <w:spacing w:after="0" w:line="264" w:lineRule="auto"/>
        <w:tabs>
          <w:tab w:leader="none" w:pos="3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Subscriber has adequate means of providing for its current and anticipated financial needs and contingencies, is able to bear the economic risk for an indefinite period of time and has no need for liquidity of the investment in the Units and could afford complete loss of such investment.</w:t>
      </w:r>
    </w:p>
    <w:p>
      <w:pPr>
        <w:spacing w:after="0" w:line="397" w:lineRule="exact"/>
        <w:rPr>
          <w:sz w:val="20"/>
          <w:szCs w:val="20"/>
          <w:color w:val="auto"/>
        </w:rPr>
      </w:pPr>
    </w:p>
    <w:p>
      <w:pPr>
        <w:ind w:left="10584"/>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29210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2" w:name="page43"/>
    <w:bookmarkEnd w:id="42"/>
    <w:p>
      <w:pPr>
        <w:jc w:val="both"/>
        <w:ind w:left="980" w:hanging="324"/>
        <w:spacing w:after="0" w:line="31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Subscriber is not subscribing for Units as a result of or subsequent to any advertisement, article, notice or other communication, published in any newspaper, magazine or similar media or broadcast over television, radio, or the internet, or presented at any seminar or meeting, or any solicitation of a subscription by a person not previously known to the Subscriber in connection with investments in securities generally.</w:t>
      </w:r>
    </w:p>
    <w:p>
      <w:pPr>
        <w:spacing w:after="0" w:line="146" w:lineRule="exact"/>
        <w:rPr>
          <w:rFonts w:ascii="Arial" w:cs="Arial" w:eastAsia="Arial" w:hAnsi="Arial"/>
          <w:sz w:val="16"/>
          <w:szCs w:val="16"/>
          <w:color w:val="auto"/>
        </w:rPr>
      </w:pPr>
    </w:p>
    <w:p>
      <w:pPr>
        <w:ind w:left="980" w:right="2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Subscriber acknowledges that no U.S. federal or state agency or any other government or governmental agency has passed upon the Units or made any finding or determination as to the fairness, suitability or wisdom of any investments therein.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Subscriber agrees to be bound by all of the terms and conditions of the Registration Rights Agreement and to perform all obligations thereby imposed upon it.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of the information that the Subscriber has heretofore furnished or which is set forth herein is true, correct and complete as of the date of this Agreement, and, if there should be any material change in such information prior to the admission of the undersigned to the Company, the Subscriber will immediately furnish revised or corrected information to the Company.</w:t>
      </w:r>
    </w:p>
    <w:p>
      <w:pPr>
        <w:spacing w:after="0" w:line="177" w:lineRule="exact"/>
        <w:rPr>
          <w:rFonts w:ascii="Arial" w:cs="Arial" w:eastAsia="Arial" w:hAnsi="Arial"/>
          <w:sz w:val="18"/>
          <w:szCs w:val="18"/>
          <w:color w:val="auto"/>
        </w:rPr>
      </w:pPr>
    </w:p>
    <w:p>
      <w:pPr>
        <w:jc w:val="both"/>
        <w:ind w:left="980" w:hanging="324"/>
        <w:spacing w:after="0" w:line="295"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(For ERISA plans only) </w:t>
      </w:r>
      <w:r>
        <w:rPr>
          <w:rFonts w:ascii="Arial" w:cs="Arial" w:eastAsia="Arial" w:hAnsi="Arial"/>
          <w:sz w:val="16"/>
          <w:szCs w:val="16"/>
          <w:color w:val="auto"/>
        </w:rPr>
        <w:t>The fiduciary of the Employee Retirement Income Security Act of 1974 (“</w:t>
      </w:r>
      <w:r>
        <w:rPr>
          <w:rFonts w:ascii="Arial" w:cs="Arial" w:eastAsia="Arial" w:hAnsi="Arial"/>
          <w:sz w:val="16"/>
          <w:szCs w:val="16"/>
          <w:i w:val="1"/>
          <w:iCs w:val="1"/>
          <w:u w:val="single" w:color="auto"/>
          <w:color w:val="auto"/>
        </w:rPr>
        <w:t>ERISA</w:t>
      </w:r>
      <w:r>
        <w:rPr>
          <w:rFonts w:ascii="Arial" w:cs="Arial" w:eastAsia="Arial" w:hAnsi="Arial"/>
          <w:sz w:val="16"/>
          <w:szCs w:val="16"/>
          <w:color w:val="auto"/>
        </w:rPr>
        <w:t>”) plan (the “</w:t>
      </w:r>
      <w:r>
        <w:rPr>
          <w:rFonts w:ascii="Arial" w:cs="Arial" w:eastAsia="Arial" w:hAnsi="Arial"/>
          <w:sz w:val="16"/>
          <w:szCs w:val="16"/>
          <w:i w:val="1"/>
          <w:iCs w:val="1"/>
          <w:u w:val="single" w:color="auto"/>
          <w:color w:val="auto"/>
        </w:rPr>
        <w:t>Plan</w:t>
      </w:r>
      <w:r>
        <w:rPr>
          <w:rFonts w:ascii="Arial" w:cs="Arial" w:eastAsia="Arial" w:hAnsi="Arial"/>
          <w:sz w:val="16"/>
          <w:szCs w:val="16"/>
          <w:color w:val="auto"/>
        </w:rPr>
        <w:t>”) represents that</w:t>
      </w:r>
      <w:r>
        <w:rPr>
          <w:rFonts w:ascii="Arial" w:cs="Arial" w:eastAsia="Arial" w:hAnsi="Arial"/>
          <w:sz w:val="16"/>
          <w:szCs w:val="16"/>
          <w:b w:val="1"/>
          <w:bCs w:val="1"/>
          <w:color w:val="auto"/>
        </w:rPr>
        <w:t xml:space="preserve"> </w:t>
      </w:r>
      <w:r>
        <w:rPr>
          <w:rFonts w:ascii="Arial" w:cs="Arial" w:eastAsia="Arial" w:hAnsi="Arial"/>
          <w:sz w:val="16"/>
          <w:szCs w:val="16"/>
          <w:color w:val="auto"/>
        </w:rPr>
        <w:t>such fiduciary has been informed of and understands the Company’s investment objectives, policies and strategies, and that the decision to invest “plan assets” (as such term is defined in ERISA) in the Company is consistent with the provisions of ERISA that require diversification of plan assets and impose other fiduciary responsibilities. The Subscriber fiduciary or Plan (a) is responsible for the decision to invest in the Company; (b) is independent of the Company or any of its affiliates; (c) is qualified to make such investment decision; and (d) in making such decision, the Subscriber fiduciary or Plan has not relied primarily on any advice or recommendation of the Company or any of its affiliates.</w:t>
      </w:r>
    </w:p>
    <w:p>
      <w:pPr>
        <w:spacing w:after="0" w:line="155"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The Subscriber acknowledges and agrees as follows:</w:t>
      </w:r>
    </w:p>
    <w:p>
      <w:pPr>
        <w:spacing w:after="0" w:line="229"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Units have not been registered for sale under the Securities Act, in reliance on the private offering exemption in Section 4(a)(2) thereof; other than as expressly provide in the Registration Rights Agreement, the Company does not currently intend to register Common Stock under the Securities Act at any time in the future; and the undersigned will not immediately be entitled to the benefits of Rule 144 with respect to the Common Stock.</w:t>
      </w:r>
    </w:p>
    <w:p>
      <w:pPr>
        <w:spacing w:after="0" w:line="18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Subscriber understands that there are substantial restrictions on the transferability of the Common Stock that the certificates representing the Common Stock shall bear a restrictive legend in substantially the following form (and a stop-transfer order may be placed against transfer of such certificates or other instruments):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left="324"/>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“SECURITIES ACT”), OR ANY STATE SECURITIES LAWS, AND NEITHER SUCH SECURITIES NOR ANY INTEREST THEREIN MAY BE OFFERED, SOLD, PLEDGED, ASSIGNED OR OTHERWISE TRANSFERRED UNLESS (1) A REGISTRATION STATEMENT WITH RESPECT THERETO IS EFFECTIVE UNDER THE SECURITIES ACT AND ANY APPLICABLE STATE SECURITIES LAWS, OR (2) AN EXEMPTION FROM SUCH REGISTRATION EXISTS AND THE COMPANY RECEIVES AN OPINION OF COUNSEL TO THE HOLDER OF SUCH SECURITIES, WHICH COUNSEL AND OPINION ARE SATISFACTORY TO THE COMPANY, THAT SUCH SECURITIES MAY BE OFFERED, SOLD, PLEDGED, ASSIGNED OR TRANSFERRED IN THE MANNER CONTEMPLATED WITHOUT AN EFFECTIVE REGISTRATION STATEMENT UNDER THE SECURITIES ACT OR APPLICABLE STATE SECURITIES LAWS. HEDGING TRANSACTIONS INVOLVING THESE SECURITIES MAY NOT BE CONDUCTED UNLESS IN COMPLIANCE WITH THE SECURITIES ACT.</w:t>
      </w:r>
    </w:p>
    <w:p>
      <w:pPr>
        <w:spacing w:after="0" w:line="195" w:lineRule="exact"/>
        <w:rPr>
          <w:sz w:val="20"/>
          <w:szCs w:val="20"/>
          <w:color w:val="auto"/>
        </w:rPr>
      </w:pPr>
    </w:p>
    <w:p>
      <w:pPr>
        <w:jc w:val="both"/>
        <w:ind w:left="324"/>
        <w:spacing w:after="0" w:line="257" w:lineRule="auto"/>
        <w:rPr>
          <w:sz w:val="20"/>
          <w:szCs w:val="20"/>
          <w:color w:val="auto"/>
        </w:rPr>
      </w:pPr>
      <w:r>
        <w:rPr>
          <w:rFonts w:ascii="Arial" w:cs="Arial" w:eastAsia="Arial" w:hAnsi="Arial"/>
          <w:sz w:val="18"/>
          <w:szCs w:val="18"/>
          <w:color w:val="auto"/>
        </w:rPr>
        <w:t>The legend set forth above shall be removed and the Company shall issue a certificate without such legend to the holder of the Common Stock upon which it is stamped, if (a) such Common Stock is sold pursuant to a registration statement under the Securities Act, or (b) such holder delivers to the Company an opinion of counsel, reasonably acceptable to the Company, that a disposition of the Common Stock is being made pursuant to an exemption from such registration and that the Common Stock, after such transfer, shall no longer be “restricted securities” within the meaning of Rule 144.</w:t>
      </w:r>
    </w:p>
    <w:p>
      <w:pPr>
        <w:spacing w:after="0" w:line="188" w:lineRule="exact"/>
        <w:rPr>
          <w:sz w:val="20"/>
          <w:szCs w:val="20"/>
          <w:color w:val="auto"/>
        </w:rPr>
      </w:pPr>
    </w:p>
    <w:p>
      <w:pPr>
        <w:jc w:val="both"/>
        <w:ind w:left="324" w:hanging="324"/>
        <w:spacing w:after="0" w:line="282" w:lineRule="auto"/>
        <w:tabs>
          <w:tab w:leader="none" w:pos="324" w:val="left"/>
        </w:tabs>
        <w:numPr>
          <w:ilvl w:val="0"/>
          <w:numId w:val="44"/>
        </w:numPr>
        <w:rPr>
          <w:rFonts w:ascii="Arial" w:cs="Arial" w:eastAsia="Arial" w:hAnsi="Arial"/>
          <w:sz w:val="16"/>
          <w:szCs w:val="16"/>
          <w:color w:val="auto"/>
        </w:rPr>
      </w:pPr>
      <w:r>
        <w:rPr>
          <w:rFonts w:ascii="Arial" w:cs="Arial" w:eastAsia="Arial" w:hAnsi="Arial"/>
          <w:sz w:val="16"/>
          <w:szCs w:val="16"/>
          <w:color w:val="auto"/>
        </w:rPr>
        <w:t>Certificates evidencing the Shares and Warrant Shares shall not contain any legend (including the legend set forth in Section 6(b) hereof), (i) while a registration statement (including the Registration Statement) covering the resale of such security is effective under the Securities Act, (ii) following any sale of such Shares or Warrant Shares pursuant to Rule 144, (iii) if such Shares or Warrant Shares are eligible for sale under Rule 144,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promptly after the Effective Date if required by the transfer agent to effect the removal of the legend hereunder.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6(c), it will, no later than three Trading Days (as defined in the Registration Rights Agreement) following the delivery by a Subscriber to the Company or the transfer agent of a certificate representing Shares or Warrant Shares, as the case may be, issued with a restrictive legend (such third Trading Day, the “Legend Removal Date”), deliver or cause to be delivered to such Subscriber a certificate representing such shares that is free from all restrictive and other legends. The Company may not make any notation on its records or give instructions to the transfer agent that enlarge the restrictions on transfer set forth in this Section 6. Certificates for Securities subject to legend removal hereunder shall be transmitted by the transfer agent to the Subscriber by crediting the account of the Subscriber’s prime broker with the Depository Trust Company System as directed by such Subscriber. “Effective Date” means the earliest of the date that (a) the initial Registration Statement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or</w:t>
      </w:r>
    </w:p>
    <w:p>
      <w:pPr>
        <w:spacing w:after="0" w:line="12" w:lineRule="exact"/>
        <w:rPr>
          <w:rFonts w:ascii="Arial" w:cs="Arial" w:eastAsia="Arial" w:hAnsi="Arial"/>
          <w:sz w:val="16"/>
          <w:szCs w:val="16"/>
          <w:color w:val="auto"/>
        </w:rPr>
      </w:pPr>
    </w:p>
    <w:p>
      <w:pPr>
        <w:jc w:val="both"/>
        <w:ind w:left="324"/>
        <w:spacing w:after="0" w:line="292" w:lineRule="auto"/>
        <w:rPr>
          <w:rFonts w:ascii="Arial" w:cs="Arial" w:eastAsia="Arial" w:hAnsi="Arial"/>
          <w:sz w:val="16"/>
          <w:szCs w:val="16"/>
          <w:color w:val="auto"/>
        </w:rPr>
      </w:pPr>
      <w:r>
        <w:rPr>
          <w:rFonts w:ascii="Arial" w:cs="Arial" w:eastAsia="Arial" w:hAnsi="Arial"/>
          <w:sz w:val="16"/>
          <w:szCs w:val="16"/>
          <w:color w:val="auto"/>
        </w:rPr>
        <w:t>(c) following the one year anniversary of the Closing Date provided that a holder of Shares or Warrant Shares is not an Affiliate of the Company, all of the Shares and Warrant Shares may be sold pursuant to an exemption from registration under Section 4(1) of the Securities Act without volume or manner-of-sale restrictions and Company’s legal counsel has delivered to such Subscriber a standing written unqualified opinion that resales may then be made by such Subscriber of the Shares and Warrant Shares pursuant to such exemption which opinion shall be in form and substance reasonably acceptable to the Company and the Subscriber for the purpose described above.</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44" w:name="page45"/>
    <w:bookmarkEnd w:id="44"/>
    <w:p>
      <w:pPr>
        <w:jc w:val="both"/>
        <w:ind w:left="324" w:hanging="324"/>
        <w:spacing w:after="0" w:line="283" w:lineRule="auto"/>
        <w:tabs>
          <w:tab w:leader="none" w:pos="3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addition to such subscriber’s other available remedies, the Company shall pay to a Subscriber, in cash, the greater of (i) as partial liquidated damages and not as a penalty, for each $1,000 of Shares (based on the Weighted Average Price of the Shares on the date such Securities are submitted to the transfer agent) delivered for removal of the restrictive legend and subject to Section 6(c), $5 per Trading Day (increasing to $10 per Trading Day five (5) Trading Days after such damages have begun to accrue) for each Trading Day after the Legend Removal Date until such certificate is delivered without a legend and (ii) if the Company fails to (i) issue and deliver (or cause to be delivered) to a Subscriber by the Legend Removal Date a certificate representing the Securities so delivered to the Company by such Subscriber that is free from all restrictive and other legends or (ii) if after the Legend Removal Date such Subscriber purchases (in an open market transaction or otherwise) Shares to deliver in satisfaction of a sale by such Subscriber of all or any portion of the number of Shares, or a sale of a number of Shares equal to all or any portion of the number of Shares that such Subscriber anticipated receiving from the Company without any restrictive legend, then, an amount equal to the excess of such Subscriber’s total purchase price (including brokerage commissions and other out-of-pocket expenses, if any) for the Shares so purchased (including brokerage commissions and other out-of-pocket expenses, if any) (the “</w:t>
      </w:r>
      <w:r>
        <w:rPr>
          <w:rFonts w:ascii="Arial" w:cs="Arial" w:eastAsia="Arial" w:hAnsi="Arial"/>
          <w:sz w:val="16"/>
          <w:szCs w:val="16"/>
          <w:i w:val="1"/>
          <w:iCs w:val="1"/>
          <w:u w:val="single" w:color="auto"/>
          <w:color w:val="auto"/>
        </w:rPr>
        <w:t>Buy-In Price</w:t>
      </w:r>
      <w:r>
        <w:rPr>
          <w:rFonts w:ascii="Arial" w:cs="Arial" w:eastAsia="Arial" w:hAnsi="Arial"/>
          <w:sz w:val="16"/>
          <w:szCs w:val="16"/>
          <w:color w:val="auto"/>
        </w:rPr>
        <w:t>”) over the product of (A) such number of Shares that the Company was required to deliver to such Subscriber by the Legend Removal Date multiplied by</w:t>
      </w:r>
    </w:p>
    <w:p>
      <w:pPr>
        <w:spacing w:after="0" w:line="3" w:lineRule="exact"/>
        <w:rPr>
          <w:rFonts w:ascii="Arial" w:cs="Arial" w:eastAsia="Arial" w:hAnsi="Arial"/>
          <w:sz w:val="16"/>
          <w:szCs w:val="16"/>
          <w:color w:val="auto"/>
        </w:rPr>
      </w:pPr>
    </w:p>
    <w:p>
      <w:pPr>
        <w:ind w:left="324" w:right="20"/>
        <w:spacing w:after="0" w:line="323" w:lineRule="auto"/>
        <w:rPr>
          <w:rFonts w:ascii="Arial" w:cs="Arial" w:eastAsia="Arial" w:hAnsi="Arial"/>
          <w:sz w:val="16"/>
          <w:szCs w:val="16"/>
          <w:color w:val="auto"/>
        </w:rPr>
      </w:pPr>
      <w:r>
        <w:rPr>
          <w:rFonts w:ascii="Arial" w:cs="Arial" w:eastAsia="Arial" w:hAnsi="Arial"/>
          <w:sz w:val="16"/>
          <w:szCs w:val="16"/>
          <w:color w:val="auto"/>
        </w:rPr>
        <w:t>(B) the lowest closing sale price of the Shares on any Trading Day during the period commencing on the date of the delivery by such Subscriber to the Company of the applicable Shares (as the case may be) and ending on the date of such delivery and payment under this clause (d).</w:t>
      </w:r>
    </w:p>
    <w:p>
      <w:pPr>
        <w:spacing w:after="0" w:line="134" w:lineRule="exact"/>
        <w:rPr>
          <w:rFonts w:ascii="Arial" w:cs="Arial" w:eastAsia="Arial" w:hAnsi="Arial"/>
          <w:sz w:val="16"/>
          <w:szCs w:val="16"/>
          <w:color w:val="auto"/>
        </w:rPr>
      </w:pPr>
    </w:p>
    <w:p>
      <w:pPr>
        <w:jc w:val="both"/>
        <w:ind w:left="324" w:hanging="324"/>
        <w:spacing w:after="0" w:line="270" w:lineRule="auto"/>
        <w:tabs>
          <w:tab w:leader="none" w:pos="324"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Each Subscriber understands that until July 15, 2002, the Company was a “shell company” as defined in Rule 12b-2 under the Exchange Act. Pursuant to Rule 144(i), securities issued by a current or former shell company (that is, the Common Stock) that otherwise meet the holding period and other requirements of Rule 144 nevertheless cannot be sold in reliance on Rule 144 until </w:t>
      </w:r>
      <w:r>
        <w:rPr>
          <w:rFonts w:ascii="Arial" w:cs="Arial" w:eastAsia="Arial" w:hAnsi="Arial"/>
          <w:sz w:val="17"/>
          <w:szCs w:val="17"/>
          <w:b w:val="1"/>
          <w:bCs w:val="1"/>
          <w:u w:val="single" w:color="auto"/>
          <w:color w:val="auto"/>
        </w:rPr>
        <w:t>one year</w:t>
      </w:r>
      <w:r>
        <w:rPr>
          <w:rFonts w:ascii="Arial" w:cs="Arial" w:eastAsia="Arial" w:hAnsi="Arial"/>
          <w:sz w:val="17"/>
          <w:szCs w:val="17"/>
          <w:b w:val="1"/>
          <w:bCs w:val="1"/>
          <w:color w:val="auto"/>
        </w:rPr>
        <w:t xml:space="preserve"> after the Company (a) is no longer a shell company; and (b) has filed current “Form 10 information“ (as defined in Rule 144(i)) with the SEC reflecting that it is no longer a shell company, and </w:t>
      </w:r>
      <w:r>
        <w:rPr>
          <w:rFonts w:ascii="Arial" w:cs="Arial" w:eastAsia="Arial" w:hAnsi="Arial"/>
          <w:sz w:val="17"/>
          <w:szCs w:val="17"/>
          <w:b w:val="1"/>
          <w:bCs w:val="1"/>
          <w:u w:val="single" w:color="auto"/>
          <w:color w:val="auto"/>
        </w:rPr>
        <w:t>provided</w:t>
      </w:r>
      <w:r>
        <w:rPr>
          <w:rFonts w:ascii="Arial" w:cs="Arial" w:eastAsia="Arial" w:hAnsi="Arial"/>
          <w:sz w:val="17"/>
          <w:szCs w:val="17"/>
          <w:b w:val="1"/>
          <w:bCs w:val="1"/>
          <w:color w:val="auto"/>
        </w:rPr>
        <w:t xml:space="preserve"> that at the time of a proposed sale pursuant to Rule 144, the Company is subject to the reporting requirements of Section 13 or 15(d) of the Exchange Act and has filed all reports and other materials required to be filed by Section 13 or 15(d) of the Exchange Act, as applicable, during the preceding 12 months (or for such shorter period that the issuer was required to file such reports and materials), other than Form 8-K reports. </w:t>
      </w:r>
      <w:r>
        <w:rPr>
          <w:rFonts w:ascii="Arial" w:cs="Arial" w:eastAsia="Arial" w:hAnsi="Arial"/>
          <w:sz w:val="17"/>
          <w:szCs w:val="17"/>
          <w:b w:val="1"/>
          <w:bCs w:val="1"/>
          <w:u w:val="single" w:color="auto"/>
          <w:color w:val="auto"/>
        </w:rPr>
        <w:t>As a result, the restrictive legends on certificates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for the Common Stock cannot be removed except in connection with an actual sale meeting the foregoing requirements or pursuant to an effective registration statement</w:t>
      </w:r>
      <w:r>
        <w:rPr>
          <w:rFonts w:ascii="Arial" w:cs="Arial" w:eastAsia="Arial" w:hAnsi="Arial"/>
          <w:sz w:val="17"/>
          <w:szCs w:val="17"/>
          <w:b w:val="1"/>
          <w:bCs w:val="1"/>
          <w:color w:val="auto"/>
        </w:rPr>
        <w:t>.</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5" w:name="page46"/>
    <w:bookmarkEnd w:id="45"/>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Indemnification.</w:t>
      </w:r>
    </w:p>
    <w:p>
      <w:pPr>
        <w:spacing w:after="0" w:line="229"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agrees to indemnify and hold harmless the Subscriber from and against all losses, liabilities, claims, damages, costs, fees and expenses whatsoever (including, but not limited to, any and all expenses incurred in investigating, preparing or defending against any litigation commenced or threatened) based upon or arising out of the Company’s actual or alleged false acknowledgment, representation or warranty, or misrepresentation or omission to state a material fact, or breach by the Company of any covenant or agreement made by the Company, contained herein or in any other any other Disclosure Materials. The liability of the Company under this paragraph shall not exceed the total Purchase Price paid by the Subscriber hereunder.</w:t>
      </w:r>
    </w:p>
    <w:p>
      <w:pPr>
        <w:spacing w:after="0" w:line="193"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so to notify the indemnifying party will not relieve it from any liability which it may have to any indemnified party otherwise than under this Section 7. In case any such action is brought against any indemnified party, and it notifies the indemnifying party of the commencement thereof, the indemnifying party will be entitled to participate therein, and to the extent that it may elect by written notice delivered to the indemnified party promptly after receiving the aforesaid notice from such indemnified party, to assume the defense thereof, with counsel satisfactory to such indemnified party; provided, however, if the defendants in any such action include both the indemnified party and the indemnifying party and either (i) the indemnifying party or parties and the indemnified party or parties mutually agree or (ii) representation of both the indemnifying party or parties and the indemnified party or parties by the same counsel is inappropriate under applicable standards of professional conduct due to actual or potential differing interests between them,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7 for any legal or other expenses subsequently incurred by such indemnified party in connection with the defense thereof unless (i) the indemnified party shall have employed counsel in connection with the assumption of legal defenses in accordance with the proviso to the next preceding sentence (it being understood, however, that the indemnifying party shall not be liable for the expenses of more than one separate counsel in such circumstance), (ii) the indemnifying party shall not have employed counsel satisfactory to the indemnified party to represent the indemnified party within a reasonable time after notice of commencement of the action or (iii) the indemnifying party has authorized the employment of counsel for the indemnified party at the expense of the indemnifying party.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or (ii) be liable for any settlement of any such action effected without its written consent (which consent shall not be unreasonably withheld), but if settled with its written consent or if there be a final judgment of the plaintiff in any such action, the indemnifying party agrees to indemnify and hold harmless any indemnified party from and against any loss or liability by reason of such settlement or judgment.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ind w:left="660" w:hanging="652"/>
        <w:spacing w:after="0" w:line="273"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Revocability; Binding Effect. </w:t>
      </w:r>
      <w:r>
        <w:rPr>
          <w:rFonts w:ascii="Arial" w:cs="Arial" w:eastAsia="Arial" w:hAnsi="Arial"/>
          <w:sz w:val="17"/>
          <w:szCs w:val="17"/>
          <w:color w:val="auto"/>
        </w:rPr>
        <w:t>The subscription hereunder may be revoked prior to the Closing thereon, provided that written notice of revocation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sent and is received by the Company or the Placement Agent at least three business days prior to the Closing on such subscription. The Subscriber hereby acknowledges and agrees that this Agreement shall survive the death or disability of the Subscriber and shall be binding upon and inure to the benefit of the parties and their heirs, executors, administrators, successors, legal representatives and permitted assigns. If the Subscriber is more than one person, the obligations of the Subscriber hereunder shall be joint and several and the agreements, representations, warranties and acknowledgments herein shall be deemed to be made by and be binding upon each such person and such person’s heirs, executors, administrators, successors, legal representatives and permitted assigns.</w:t>
      </w:r>
    </w:p>
    <w:p>
      <w:pPr>
        <w:spacing w:after="0" w:line="172" w:lineRule="exact"/>
        <w:rPr>
          <w:rFonts w:ascii="Arial" w:cs="Arial" w:eastAsia="Arial" w:hAnsi="Arial"/>
          <w:sz w:val="17"/>
          <w:szCs w:val="17"/>
          <w:color w:val="auto"/>
        </w:rPr>
      </w:pPr>
    </w:p>
    <w:p>
      <w:pPr>
        <w:ind w:left="660" w:hanging="652"/>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w:t>
      </w:r>
      <w:r>
        <w:rPr>
          <w:rFonts w:ascii="Arial" w:cs="Arial" w:eastAsia="Arial" w:hAnsi="Arial"/>
          <w:sz w:val="18"/>
          <w:szCs w:val="18"/>
          <w:color w:val="auto"/>
        </w:rPr>
        <w:t>This Agreement shall not be modified or waived except by an instrument in writing signed by the party against whom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or waiver is sought to be enforced.</w:t>
      </w:r>
    </w:p>
    <w:p>
      <w:pPr>
        <w:spacing w:after="0" w:line="161" w:lineRule="exact"/>
        <w:rPr>
          <w:rFonts w:ascii="Arial" w:cs="Arial" w:eastAsia="Arial" w:hAnsi="Arial"/>
          <w:sz w:val="18"/>
          <w:szCs w:val="18"/>
          <w:color w:val="auto"/>
        </w:rPr>
      </w:pPr>
    </w:p>
    <w:p>
      <w:pPr>
        <w:ind w:left="660" w:hanging="652"/>
        <w:spacing w:after="0" w:line="347"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Immaterial Modifications to the Registration Rights Agreement. </w:t>
      </w:r>
      <w:r>
        <w:rPr>
          <w:rFonts w:ascii="Arial" w:cs="Arial" w:eastAsia="Arial" w:hAnsi="Arial"/>
          <w:sz w:val="16"/>
          <w:szCs w:val="16"/>
          <w:color w:val="auto"/>
        </w:rPr>
        <w:t>The Company may, at any time prior to the Closing, amend the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Agreement if necessary to clarify any provision therein, without first providing notice or obtaining prior consent of the Subscriber.</w:t>
      </w:r>
    </w:p>
    <w:p>
      <w:pPr>
        <w:spacing w:after="0" w:line="116" w:lineRule="exact"/>
        <w:rPr>
          <w:rFonts w:ascii="Arial" w:cs="Arial" w:eastAsia="Arial" w:hAnsi="Arial"/>
          <w:sz w:val="16"/>
          <w:szCs w:val="16"/>
          <w:color w:val="auto"/>
        </w:rPr>
      </w:pPr>
    </w:p>
    <w:p>
      <w:pPr>
        <w:jc w:val="both"/>
        <w:ind w:left="660" w:hanging="652"/>
        <w:spacing w:after="0" w:line="29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Notices. </w:t>
      </w:r>
      <w:r>
        <w:rPr>
          <w:rFonts w:ascii="Arial" w:cs="Arial" w:eastAsia="Arial" w:hAnsi="Arial"/>
          <w:sz w:val="16"/>
          <w:szCs w:val="16"/>
          <w:color w:val="auto"/>
        </w:rPr>
        <w:t>Any notice or other communication required or permitted to be given hereunder shall be in writing and shall be mailed by certified mail,</w:t>
      </w:r>
      <w:r>
        <w:rPr>
          <w:rFonts w:ascii="Arial" w:cs="Arial" w:eastAsia="Arial" w:hAnsi="Arial"/>
          <w:sz w:val="16"/>
          <w:szCs w:val="16"/>
          <w:b w:val="1"/>
          <w:bCs w:val="1"/>
          <w:color w:val="auto"/>
        </w:rPr>
        <w:t xml:space="preserve"> </w:t>
      </w:r>
      <w:r>
        <w:rPr>
          <w:rFonts w:ascii="Arial" w:cs="Arial" w:eastAsia="Arial" w:hAnsi="Arial"/>
          <w:sz w:val="16"/>
          <w:szCs w:val="16"/>
          <w:color w:val="auto"/>
        </w:rPr>
        <w:t>return receipt requested, or delivered against receipt to the party to whom it is to be given (a) if to the Company, at the address set forth above, with a copy (which shall not constitute notice) to Shumaker, Loop &amp; Kendrick, LLP, Attention Mark C. Catchur, Esq., facsimile 813-229-1660, or (b) if to the Subscriber, at the address set forth on the Omnibus Signature Page hereof (or, in either case, to such other address as the party shall have furnished in writing in accordance with the provisions of this Section). Any notice or other communication given by certified mail shall be deemed given at the time of certification thereof, except for a notice changing a party’s address which shall be deemed given at the time of receipt thereof.</w:t>
      </w:r>
    </w:p>
    <w:p>
      <w:pPr>
        <w:spacing w:after="0" w:line="155" w:lineRule="exact"/>
        <w:rPr>
          <w:rFonts w:ascii="Arial" w:cs="Arial" w:eastAsia="Arial" w:hAnsi="Arial"/>
          <w:sz w:val="16"/>
          <w:szCs w:val="16"/>
          <w:color w:val="auto"/>
        </w:rPr>
      </w:pPr>
    </w:p>
    <w:p>
      <w:pPr>
        <w:ind w:left="660" w:right="20" w:hanging="652"/>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Assignability. </w:t>
      </w:r>
      <w:r>
        <w:rPr>
          <w:rFonts w:ascii="Arial" w:cs="Arial" w:eastAsia="Arial" w:hAnsi="Arial"/>
          <w:sz w:val="18"/>
          <w:szCs w:val="18"/>
          <w:color w:val="auto"/>
        </w:rPr>
        <w:t>This Agreement and the rights, interests and obligations hereunder are not transferable or assignable by the Subscriber,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or assignment of the Units shall be made only in accordance with all applicable laws.</w:t>
      </w:r>
    </w:p>
    <w:p>
      <w:pPr>
        <w:spacing w:after="0" w:line="161" w:lineRule="exact"/>
        <w:rPr>
          <w:rFonts w:ascii="Arial" w:cs="Arial" w:eastAsia="Arial" w:hAnsi="Arial"/>
          <w:sz w:val="18"/>
          <w:szCs w:val="18"/>
          <w:color w:val="auto"/>
        </w:rPr>
      </w:pPr>
    </w:p>
    <w:p>
      <w:pPr>
        <w:ind w:left="660" w:right="20" w:hanging="652"/>
        <w:spacing w:after="0" w:line="28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This Agreement shall be governed by and construed in accordance with the laws of the State of New York, without reference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thereof relating to the conflict of laws.</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Arbitration. </w:t>
      </w:r>
      <w:r>
        <w:rPr>
          <w:rFonts w:ascii="Arial" w:cs="Arial" w:eastAsia="Arial" w:hAnsi="Arial"/>
          <w:sz w:val="17"/>
          <w:szCs w:val="17"/>
          <w:color w:val="auto"/>
        </w:rPr>
        <w:t>The parties agree to submit all controversies to arbitration in accordance with the provisions set forth below and understand that:</w:t>
      </w:r>
    </w:p>
    <w:p>
      <w:pPr>
        <w:spacing w:after="0" w:line="240" w:lineRule="exact"/>
        <w:rPr>
          <w:rFonts w:ascii="Arial" w:cs="Arial" w:eastAsia="Arial" w:hAnsi="Arial"/>
          <w:sz w:val="17"/>
          <w:szCs w:val="17"/>
          <w:color w:val="auto"/>
        </w:rPr>
      </w:pPr>
    </w:p>
    <w:p>
      <w:pPr>
        <w:ind w:left="980" w:hanging="324"/>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Arbitration shall be final and binding on the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parties are waiving their right to seek remedies in court, including the right to a jury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Pre-arbitration discovery is generally more limited and different from court proceedings.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980" w:hanging="324"/>
        <w:spacing w:after="0" w:line="277" w:lineRule="auto"/>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arbitrator’s award is not required to include factual findings or legal reasoning and any party’s right to appeal or to seek modification of rulings by arbitrators is strictly limited.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panel of arbitrators will typically include a minority of arbitrators who were or are affiliated with the securities industry.</w:t>
      </w:r>
    </w:p>
    <w:p>
      <w:pPr>
        <w:spacing w:after="0" w:line="225" w:lineRule="exact"/>
        <w:rPr>
          <w:rFonts w:ascii="Arial" w:cs="Arial" w:eastAsia="Arial" w:hAnsi="Arial"/>
          <w:sz w:val="18"/>
          <w:szCs w:val="18"/>
          <w:color w:val="auto"/>
        </w:rPr>
      </w:pPr>
    </w:p>
    <w:p>
      <w:pPr>
        <w:jc w:val="both"/>
        <w:ind w:left="980" w:hanging="324"/>
        <w:spacing w:after="0" w:line="287" w:lineRule="auto"/>
        <w:tabs>
          <w:tab w:leader="none" w:pos="9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controversies which may arise between the parties concerning this Agreement shall be determined by arbitration pursuant to the rules then pertaining to the Financial Industry Regulatory Authority with the arbitration held in the State of New York, New York County. Judgment on any award of any such arbitration may be entered in the courts of the State of New York sitting in New York County and the United States District Court for the Southern District of New York sitting in Manhattan, and any state or appellate court therefrom, or in any other court having jurisdiction of the person or persons against whom such award is rendered. Any notice of such arbitration or for the confirmation of any award in any arbitration shall be sufficient if given in accordance with the provisions of this Agreement. The parties agree that the determination of the arbitrators shall be binding and conclusive upon them. The prevailing party, as determined by such arbitrators, in a legal proceeding shall be entitled to collect any costs, disbursements and reasonable attorney’s fees from the other party. Prior to filing an arbitration, the parties hereby agree that they will attempt to resolve their differences first by submitting the matter for resolution to a mediator, acceptable to all parties, and whose expenses will be borne equally by all parties. The mediation will be held in the County of New York, New York, on an expedited basis. If the parties cannot successfully resolve their differences through mediation, the matter will be resolved by arbitration as provided above. The arbitration shall take place in the New York, New York on an expedited basis.</w:t>
      </w:r>
    </w:p>
    <w:p>
      <w:pPr>
        <w:spacing w:after="0" w:line="164" w:lineRule="exact"/>
        <w:rPr>
          <w:rFonts w:ascii="Arial" w:cs="Arial" w:eastAsia="Arial" w:hAnsi="Arial"/>
          <w:sz w:val="16"/>
          <w:szCs w:val="16"/>
          <w:color w:val="auto"/>
        </w:rPr>
      </w:pPr>
    </w:p>
    <w:p>
      <w:pPr>
        <w:jc w:val="both"/>
        <w:ind w:left="660" w:hanging="652"/>
        <w:spacing w:after="0" w:line="28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Blue Sky Qualification; Form D. </w:t>
      </w:r>
      <w:r>
        <w:rPr>
          <w:rFonts w:ascii="Arial" w:cs="Arial" w:eastAsia="Arial" w:hAnsi="Arial"/>
          <w:sz w:val="17"/>
          <w:szCs w:val="17"/>
          <w:color w:val="auto"/>
        </w:rPr>
        <w:t>The Company agrees to timely file a Form D with respect to the Securities and provide a copy thereof, promptly</w:t>
      </w:r>
      <w:r>
        <w:rPr>
          <w:rFonts w:ascii="Arial" w:cs="Arial" w:eastAsia="Arial" w:hAnsi="Arial"/>
          <w:sz w:val="17"/>
          <w:szCs w:val="17"/>
          <w:b w:val="1"/>
          <w:bCs w:val="1"/>
          <w:color w:val="auto"/>
        </w:rPr>
        <w:t xml:space="preserve"> </w:t>
      </w:r>
      <w:r>
        <w:rPr>
          <w:rFonts w:ascii="Arial" w:cs="Arial" w:eastAsia="Arial" w:hAnsi="Arial"/>
          <w:sz w:val="17"/>
          <w:szCs w:val="17"/>
          <w:color w:val="auto"/>
        </w:rPr>
        <w:t>upon request of any Subscriber. The Company shall take such action as the Company shall reasonably determine is necessary in order to obtain an exemption for, or to qualify the Securities for, sale to the Subscriber at such Closing under applicable securities or “Blue Sky” laws of the states of the United States, and shall provide evidence of such actions promptly upon request of any Subscriber.</w:t>
      </w:r>
    </w:p>
    <w:p>
      <w:pPr>
        <w:spacing w:after="0" w:line="164" w:lineRule="exact"/>
        <w:rPr>
          <w:rFonts w:ascii="Arial" w:cs="Arial" w:eastAsia="Arial" w:hAnsi="Arial"/>
          <w:sz w:val="17"/>
          <w:szCs w:val="17"/>
          <w:color w:val="auto"/>
        </w:rPr>
      </w:pPr>
    </w:p>
    <w:p>
      <w:pPr>
        <w:ind w:left="660" w:right="20" w:hanging="652"/>
        <w:spacing w:after="0" w:line="28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Use of Pronouns. </w:t>
      </w:r>
      <w:r>
        <w:rPr>
          <w:rFonts w:ascii="Arial" w:cs="Arial" w:eastAsia="Arial" w:hAnsi="Arial"/>
          <w:sz w:val="18"/>
          <w:szCs w:val="18"/>
          <w:color w:val="auto"/>
        </w:rPr>
        <w:t>All pronouns and any variations thereof used herein shall be deemed to refer to the masculine, feminine, neuter, singular or plural</w:t>
      </w:r>
      <w:r>
        <w:rPr>
          <w:rFonts w:ascii="Arial" w:cs="Arial" w:eastAsia="Arial" w:hAnsi="Arial"/>
          <w:sz w:val="18"/>
          <w:szCs w:val="18"/>
          <w:b w:val="1"/>
          <w:bCs w:val="1"/>
          <w:color w:val="auto"/>
        </w:rPr>
        <w:t xml:space="preserve"> </w:t>
      </w:r>
      <w:r>
        <w:rPr>
          <w:rFonts w:ascii="Arial" w:cs="Arial" w:eastAsia="Arial" w:hAnsi="Arial"/>
          <w:sz w:val="18"/>
          <w:szCs w:val="18"/>
          <w:color w:val="auto"/>
        </w:rPr>
        <w:t>as the identity of the person or persons referred to may require.</w:t>
      </w:r>
    </w:p>
    <w:p>
      <w:pPr>
        <w:spacing w:after="0" w:line="161" w:lineRule="exact"/>
        <w:rPr>
          <w:rFonts w:ascii="Arial" w:cs="Arial" w:eastAsia="Arial" w:hAnsi="Arial"/>
          <w:sz w:val="18"/>
          <w:szCs w:val="18"/>
          <w:color w:val="auto"/>
        </w:rPr>
      </w:pPr>
    </w:p>
    <w:p>
      <w:pPr>
        <w:jc w:val="both"/>
        <w:ind w:left="660" w:hanging="652"/>
        <w:spacing w:after="0" w:line="269"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Subscriber acknowledges and agrees that any information or data the Subscriber has acquired from or about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may acquire in the future, not otherwise properly in the public domain, including, without limitation, the Disclosure Materials, was received in confidence. The Subscriber agrees not to divulge, communicate or disclose, except as may be required by law or for the performance of this Agreement, or use to the detriment of the Company or for the benefit of any other person, or misuse in any way, any confidential information of the Company, including any scientific, technical, trade or business secrets of the Company and any scientific, technical, trade or business materials that are treated by the Company as confidential or proprietary, including, but not limited to, internal personnel and financial information of the Company or its affiliates, the manner and methods of conducting the business of the Company or its affiliates and confidential information obtained by or given to the Company about or belonging to third parties. The Subscriber understands that the Company may rely on Subscriber’s agreement of confidentiality to comply with the exemptive provisions of Regulation FD under the Securities Act of 1933 as set forth in Rule 100(a)(b)(2)(ii) of Regulation FD. In addition, the Subscriber acknowledges that it is aware that the United States securities laws generally prohibit any person who is in possession of material nonpublic information about a public company such as the Company from purchasing or selling securities of such company. The provisions of this Section 17 are in addition to and not in replacement of any other confidentiality agreement between the Company and the Subscriber.</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ind w:left="660" w:hanging="652"/>
        <w:spacing w:after="0" w:line="25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Independent Nature of Subscribers’ Obligations and Rights. </w:t>
      </w:r>
      <w:r>
        <w:rPr>
          <w:rFonts w:ascii="Arial" w:cs="Arial" w:eastAsia="Arial" w:hAnsi="Arial"/>
          <w:sz w:val="18"/>
          <w:szCs w:val="18"/>
          <w:color w:val="auto"/>
        </w:rPr>
        <w:t>The obligations of each Subscriber under this Agreement are several and not joint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obligations of any other Subscriber, and no Subscriber shall be responsible in any way for the performance of the obligations of any other Subscriber under this Agreement. Nothing contained herein and no action taken by any Subscriber pursuant hereto, shall be deemed to constitute the Subscribers as a partnership, an association, a joint venture or any other kind of entity, or create a presumption that the Subscriber are in any way acting in concert or as a group, or are deemed affiliates (as such term is defined under the Exchange Act) with respect to such obligations or the transactions contemplated by this Agreement. Each Subscriber shall be entitled to independently protect and enforce its rights, including without limitation the rights arising out of this Agreement, and it shall not be necessary for any other Subscriber to be joined as an additional party in any proceeding for such purpose.</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This Agreement, together with the Registration Rights Agreement and any confidentiality agreement between the Subscriber and the Company, constitute the entire agreement between the Subscriber and the Company with respect to the Offering and supersede all prior oral or written agreements and understandings, if any, relating to the subject matter hereof. The terms and provisions of this Agreement may be waived, or consent for the departure therefrom granted, only by a written document executed by the party entitled to the benefits of such terms or provisions.</w:t>
      </w:r>
    </w:p>
    <w:p>
      <w:pPr>
        <w:spacing w:after="0" w:line="188"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and the Subscriber made in this Agreement shall survive the execution and delivery hereof and delivery of the Units.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of the parties hereto shall pay its own fees and expenses (including the fees of any attorneys, accountants, appraisers or others engaged by such party) in connection with this Agreement and the transactions contemplated hereby, whether or not the transactions contemplated hereby are consummated.</w:t>
      </w:r>
    </w:p>
    <w:p>
      <w:pPr>
        <w:spacing w:after="0" w:line="181"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This Agreement may be executed in one or more original or facsimile (including by an e-mail which contains a.pdf file of an executed signature page) counterparts, each of which shall be deemed an original, but all of which shall together constitute one and the same instrument and which shall be enforceable against the parties actually executing such counterparts. The exchange of copies of this Agreement and of signature pages by facsimile transmission or in .pdf format shall constitute effective execution and delivery of this Agreement as to the parties and may be used in lieu of the original Agreement for all purposes. Signatures of the parties transmitted by facsimile or by e-mail of a document in pdf format shall be deemed to be their original signatures for all purposes.</w:t>
      </w:r>
    </w:p>
    <w:p>
      <w:pPr>
        <w:spacing w:after="0" w:line="178"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Each provision of this Agreement shall be considered separable and, if for any reason any provision or provisions hereof are determined to be invalid or contrary to applicable law, such invalidity or illegality shall not impair the operation of or affect the remaining portions of this Agreement.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980" w:hanging="324"/>
        <w:spacing w:after="0"/>
        <w:tabs>
          <w:tab w:leader="none" w:pos="9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Paragraph titles are for descriptive purposes only and shall not control or alter the meaning of this Agreement as set forth in the text.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Subscriber hereby agrees to furnish the Company such other information as the Company may request prior to the Closing with respect to its subscription hereunder.</w:t>
      </w:r>
    </w:p>
    <w:p>
      <w:pPr>
        <w:spacing w:after="0" w:line="166"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Omnibus Signature Page. </w:t>
      </w:r>
      <w:r>
        <w:rPr>
          <w:rFonts w:ascii="Arial" w:cs="Arial" w:eastAsia="Arial" w:hAnsi="Arial"/>
          <w:sz w:val="18"/>
          <w:szCs w:val="18"/>
          <w:color w:val="auto"/>
        </w:rPr>
        <w:t>This Agreement is intended to be read and construed in conjunction with the Registration Rights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 pursuant to the terms and conditions of this Agreement and the Registration Rights Agreement, it is hereby agreed that the execution by the Subscriber of this Agreement, in the place set forth on the Omnibus Signature Page below, shall constitute agreement to be bound by the terms and conditions hereof and the terms and conditions of the Registration Rights Agreement, with the same effect as if each of such separate but related agreement were separately signed.</w:t>
      </w:r>
    </w:p>
    <w:p>
      <w:pPr>
        <w:spacing w:after="0" w:line="183"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Public Disclosure. </w:t>
      </w:r>
      <w:r>
        <w:rPr>
          <w:rFonts w:ascii="Arial" w:cs="Arial" w:eastAsia="Arial" w:hAnsi="Arial"/>
          <w:sz w:val="18"/>
          <w:szCs w:val="18"/>
          <w:color w:val="auto"/>
        </w:rPr>
        <w:t>Neither the Subscriber nor any officer, manager, director, member, partner, stockholder, employee, affiliate, affiliated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of the Subscriber shall make or issue any press releases or otherwise make any public statements or make any disclosures to any third person or entity with respect to the transactions contemplated herein and will not make or issue any press releases or otherwise make any public statements of any nature whatsoever with respect to the Company without the Company’s express prior approval. The Company has the right to withhold such approval in its sole discretion.</w:t>
      </w:r>
    </w:p>
    <w:p>
      <w:pPr>
        <w:spacing w:after="0" w:line="183" w:lineRule="exact"/>
        <w:rPr>
          <w:rFonts w:ascii="Arial" w:cs="Arial" w:eastAsia="Arial" w:hAnsi="Arial"/>
          <w:sz w:val="18"/>
          <w:szCs w:val="18"/>
          <w:color w:val="auto"/>
        </w:rPr>
      </w:pPr>
    </w:p>
    <w:p>
      <w:pPr>
        <w:jc w:val="both"/>
        <w:ind w:left="660" w:hanging="652"/>
        <w:spacing w:after="0" w:line="26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Legal counsel to the Company and the Placement Agent or any brokers that may be retained by the Company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Offering, and/or their respective affiliates, principals, representatives or employees, may now or hereafter own stock of the Company or warrants to purchase Company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IN WITNESS WHEREOF, the Company has duly executed this Subscription Agreement as of the __ day of ___________, 2017.</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AP</w:t>
      </w:r>
      <w:r>
        <w:rPr>
          <w:rFonts w:ascii="Arial" w:cs="Arial" w:eastAsia="Arial" w:hAnsi="Arial"/>
          <w:sz w:val="18"/>
          <w:szCs w:val="18"/>
          <w:b w:val="1"/>
          <w:bCs w:val="1"/>
          <w:color w:val="auto"/>
        </w:rPr>
        <w:t>I</w:t>
      </w:r>
      <w:r>
        <w:rPr>
          <w:rFonts w:ascii="Arial" w:cs="Arial" w:eastAsia="Arial" w:hAnsi="Arial"/>
          <w:sz w:val="12"/>
          <w:szCs w:val="12"/>
          <w:b w:val="1"/>
          <w:bCs w:val="1"/>
          <w:color w:val="auto"/>
        </w:rPr>
        <w:t>MMUNE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2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Glynn Wilson, Ph.D</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How to subscribe for Units in the private offering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07" w:lineRule="exact"/>
        <w:rPr>
          <w:sz w:val="20"/>
          <w:szCs w:val="20"/>
          <w:color w:val="auto"/>
        </w:rPr>
      </w:pPr>
    </w:p>
    <w:p>
      <w:pPr>
        <w:jc w:val="both"/>
        <w:ind w:left="340" w:hanging="332"/>
        <w:spacing w:after="0" w:line="25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Date and Fill in </w:t>
      </w:r>
      <w:r>
        <w:rPr>
          <w:rFonts w:ascii="Arial" w:cs="Arial" w:eastAsia="Arial" w:hAnsi="Arial"/>
          <w:sz w:val="18"/>
          <w:szCs w:val="18"/>
          <w:color w:val="auto"/>
        </w:rPr>
        <w:t>the dollar amount of Units you would like to purchase and</w:t>
      </w:r>
      <w:r>
        <w:rPr>
          <w:rFonts w:ascii="Arial" w:cs="Arial" w:eastAsia="Arial" w:hAnsi="Arial"/>
          <w:sz w:val="18"/>
          <w:szCs w:val="18"/>
          <w:b w:val="1"/>
          <w:bCs w:val="1"/>
          <w:color w:val="auto"/>
        </w:rPr>
        <w:t xml:space="preserve"> complete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Omnibus Signature Page</w:t>
      </w:r>
      <w:r>
        <w:rPr>
          <w:rFonts w:ascii="Arial" w:cs="Arial" w:eastAsia="Arial" w:hAnsi="Arial"/>
          <w:sz w:val="18"/>
          <w:szCs w:val="18"/>
          <w:color w:val="auto"/>
        </w:rPr>
        <w:t>. If you hold warrants of</w:t>
      </w:r>
      <w:r>
        <w:rPr>
          <w:rFonts w:ascii="Arial" w:cs="Arial" w:eastAsia="Arial" w:hAnsi="Arial"/>
          <w:sz w:val="18"/>
          <w:szCs w:val="18"/>
          <w:b w:val="1"/>
          <w:bCs w:val="1"/>
          <w:color w:val="auto"/>
        </w:rPr>
        <w:t xml:space="preserve"> </w:t>
      </w:r>
      <w:r>
        <w:rPr>
          <w:rFonts w:ascii="Arial" w:cs="Arial" w:eastAsia="Arial" w:hAnsi="Arial"/>
          <w:sz w:val="18"/>
          <w:szCs w:val="18"/>
          <w:color w:val="auto"/>
        </w:rPr>
        <w:t>TapImmune issued in August 2016 private placement with closing dates on August 10, 2016 and August 26, 2016 (each warrant providing for the purchase of one share of Common Stock) (the “2016 PIPE Warrants”), and you desire to have the exercise price of the 2016 PIPE Warrants reduced from $6.00 per share to Market Value (that is, the same exercise price as the Warrants being issued in this Offering), you will also have to fill in the number of 2016 PIPE Warrants held by you and the additional amount payable with respect to such repricing (equal to the number of 2016 PIPE Warrants held by you multiplied by $0.125) on the Omnibus Signature Page.</w:t>
      </w:r>
    </w:p>
    <w:p>
      <w:pPr>
        <w:spacing w:after="0" w:line="187"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Initial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Accredited Investor Certification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appropriate place or places.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Complete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Investor Profile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Complete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Anti-Money Laundering Information Form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Date and sign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Fax or email </w:t>
      </w:r>
      <w:r>
        <w:rPr>
          <w:rFonts w:ascii="Arial" w:cs="Arial" w:eastAsia="Arial" w:hAnsi="Arial"/>
          <w:sz w:val="18"/>
          <w:szCs w:val="18"/>
          <w:color w:val="auto"/>
        </w:rPr>
        <w:t>all the forms specified above and then send all signed original documents to:</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Katalyst Securities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Jennifer Goro</w:t>
      </w:r>
    </w:p>
    <w:p>
      <w:pPr>
        <w:ind w:left="2600"/>
        <w:spacing w:after="0" w:line="186" w:lineRule="auto"/>
        <w:rPr>
          <w:sz w:val="20"/>
          <w:szCs w:val="20"/>
          <w:color w:val="auto"/>
        </w:rPr>
      </w:pPr>
      <w:r>
        <w:rPr>
          <w:rFonts w:ascii="Arial" w:cs="Arial" w:eastAsia="Arial" w:hAnsi="Arial"/>
          <w:sz w:val="18"/>
          <w:szCs w:val="18"/>
          <w:color w:val="auto"/>
        </w:rPr>
        <w:t>630 Third Avenue,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260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Number: 212-247-1059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Number: (212) 400-6993</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address: jag@katalystsecurities.com</w:t>
      </w:r>
    </w:p>
    <w:p>
      <w:pPr>
        <w:spacing w:after="0" w:line="207" w:lineRule="exact"/>
        <w:rPr>
          <w:sz w:val="20"/>
          <w:szCs w:val="20"/>
          <w:color w:val="auto"/>
        </w:rPr>
      </w:pPr>
    </w:p>
    <w:p>
      <w:pPr>
        <w:jc w:val="both"/>
        <w:ind w:left="340" w:hanging="332"/>
        <w:spacing w:after="0" w:line="289" w:lineRule="auto"/>
        <w:tabs>
          <w:tab w:leader="none" w:pos="34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If you are paying the Purchase Price by check</w:t>
      </w:r>
      <w:r>
        <w:rPr>
          <w:rFonts w:ascii="Arial" w:cs="Arial" w:eastAsia="Arial" w:hAnsi="Arial"/>
          <w:sz w:val="17"/>
          <w:szCs w:val="17"/>
          <w:color w:val="auto"/>
        </w:rPr>
        <w:t>, a certified or other bank check for the exact dollar amount of your investment should be made payable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order of </w:t>
      </w:r>
      <w:r>
        <w:rPr>
          <w:rFonts w:ascii="Arial" w:cs="Arial" w:eastAsia="Arial" w:hAnsi="Arial"/>
          <w:sz w:val="17"/>
          <w:szCs w:val="17"/>
          <w:b w:val="1"/>
          <w:bCs w:val="1"/>
          <w:color w:val="auto"/>
        </w:rPr>
        <w:t>“Delaware Trust Company, as Escrow Agent for TapImmune Inc. Acct. #79-3001” Insert Subscribers name</w:t>
      </w:r>
      <w:r>
        <w:rPr>
          <w:rFonts w:ascii="Arial" w:cs="Arial" w:eastAsia="Arial" w:hAnsi="Arial"/>
          <w:sz w:val="17"/>
          <w:szCs w:val="17"/>
          <w:color w:val="auto"/>
        </w:rPr>
        <w:t xml:space="preserve"> and should be sent directly to </w:t>
      </w:r>
      <w:r>
        <w:rPr>
          <w:rFonts w:ascii="Arial" w:cs="Arial" w:eastAsia="Arial" w:hAnsi="Arial"/>
          <w:sz w:val="17"/>
          <w:szCs w:val="17"/>
          <w:u w:val="single" w:color="auto"/>
          <w:color w:val="auto"/>
        </w:rPr>
        <w:t>Delaware Trust Company, 2711 Centerville Road, One Little Falls Centre, Wilmington, DE 19808, Attn: Alan R. Halpern</w:t>
      </w:r>
      <w:r>
        <w:rPr>
          <w:rFonts w:ascii="Arial" w:cs="Arial" w:eastAsia="Arial" w:hAnsi="Arial"/>
          <w:sz w:val="17"/>
          <w:szCs w:val="17"/>
          <w:color w:val="auto"/>
        </w:rPr>
        <w:t>.</w:t>
      </w:r>
    </w:p>
    <w:p>
      <w:pPr>
        <w:spacing w:after="0" w:line="158" w:lineRule="exact"/>
        <w:rPr>
          <w:rFonts w:ascii="Arial" w:cs="Arial" w:eastAsia="Arial" w:hAnsi="Arial"/>
          <w:sz w:val="17"/>
          <w:szCs w:val="17"/>
          <w:b w:val="1"/>
          <w:bCs w:val="1"/>
          <w:color w:val="auto"/>
        </w:rPr>
      </w:pPr>
    </w:p>
    <w:p>
      <w:pPr>
        <w:ind w:left="340"/>
        <w:spacing w:after="0" w:line="282" w:lineRule="auto"/>
        <w:rPr>
          <w:rFonts w:ascii="Arial" w:cs="Arial" w:eastAsia="Arial" w:hAnsi="Arial"/>
          <w:sz w:val="17"/>
          <w:szCs w:val="17"/>
          <w:b w:val="1"/>
          <w:bCs w:val="1"/>
          <w:color w:val="auto"/>
        </w:rPr>
      </w:pPr>
      <w:r>
        <w:rPr>
          <w:rFonts w:ascii="Arial" w:cs="Arial" w:eastAsia="Arial" w:hAnsi="Arial"/>
          <w:sz w:val="18"/>
          <w:szCs w:val="18"/>
          <w:b w:val="1"/>
          <w:bCs w:val="1"/>
          <w:color w:val="FF0000"/>
        </w:rPr>
        <w:t>Checks take up to five (5) business days to clear. A check must be received by the Escrow Agent at least six (6) business days before the closing date.</w:t>
      </w:r>
    </w:p>
    <w:p>
      <w:pPr>
        <w:spacing w:after="0" w:line="161" w:lineRule="exact"/>
        <w:rPr>
          <w:rFonts w:ascii="Arial" w:cs="Arial" w:eastAsia="Arial" w:hAnsi="Arial"/>
          <w:sz w:val="17"/>
          <w:szCs w:val="17"/>
          <w:b w:val="1"/>
          <w:bCs w:val="1"/>
          <w:color w:val="auto"/>
        </w:rPr>
      </w:pPr>
    </w:p>
    <w:p>
      <w:pPr>
        <w:ind w:left="340" w:right="20" w:hanging="332"/>
        <w:spacing w:after="0" w:line="282"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If you are paying the Purchase Price by wire transfer</w:t>
      </w:r>
      <w:r>
        <w:rPr>
          <w:rFonts w:ascii="Arial" w:cs="Arial" w:eastAsia="Arial" w:hAnsi="Arial"/>
          <w:sz w:val="18"/>
          <w:szCs w:val="18"/>
          <w:color w:val="auto"/>
        </w:rPr>
        <w:t>, you should send a wire transfer for the exact dollar amount of your investment according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instructions</w:t>
      </w:r>
      <w:r>
        <w:rPr>
          <w:rFonts w:ascii="Arial" w:cs="Arial" w:eastAsia="Arial" w:hAnsi="Arial"/>
          <w:sz w:val="18"/>
          <w:szCs w:val="18"/>
          <w:b w:val="1"/>
          <w:bCs w:val="1"/>
          <w:color w:val="auto"/>
        </w:rPr>
        <w:t>:</w:t>
      </w:r>
    </w:p>
    <w:p>
      <w:pPr>
        <w:sectPr>
          <w:pgSz w:w="11900" w:h="16838" w:orient="portrait"/>
          <w:cols w:equalWidth="0" w:num="1">
            <w:col w:w="11420"/>
          </w:cols>
          <w:pgMar w:left="240" w:top="904" w:right="239" w:bottom="1440" w:gutter="0" w:footer="0" w:header="0"/>
        </w:sectPr>
      </w:pPr>
    </w:p>
    <w:p>
      <w:pPr>
        <w:spacing w:after="0" w:line="162" w:lineRule="exact"/>
        <w:rPr>
          <w:sz w:val="20"/>
          <w:szCs w:val="20"/>
          <w:color w:val="auto"/>
        </w:rPr>
      </w:pPr>
    </w:p>
    <w:p>
      <w:pPr>
        <w:ind w:left="1460"/>
        <w:spacing w:after="0"/>
        <w:rPr>
          <w:sz w:val="20"/>
          <w:szCs w:val="20"/>
          <w:color w:val="auto"/>
        </w:rPr>
      </w:pPr>
      <w:r>
        <w:rPr>
          <w:rFonts w:ascii="Arial" w:cs="Arial" w:eastAsia="Arial" w:hAnsi="Arial"/>
          <w:sz w:val="17"/>
          <w:szCs w:val="17"/>
          <w:b w:val="1"/>
          <w:bCs w:val="1"/>
          <w:color w:val="auto"/>
        </w:rPr>
        <w:t>Bank:</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PNC Bank</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300 Delaware Avenue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Wilmington, DE 19899</w:t>
      </w:r>
    </w:p>
    <w:p>
      <w:pPr>
        <w:spacing w:after="0" w:line="200" w:lineRule="exact"/>
        <w:rPr>
          <w:sz w:val="20"/>
          <w:szCs w:val="20"/>
          <w:color w:val="auto"/>
        </w:rPr>
      </w:pPr>
    </w:p>
    <w:p>
      <w:pPr>
        <w:sectPr>
          <w:pgSz w:w="11900" w:h="16838" w:orient="portrait"/>
          <w:cols w:equalWidth="0" w:num="2">
            <w:col w:w="3840" w:space="720"/>
            <w:col w:w="6860"/>
          </w:cols>
          <w:pgMar w:left="240" w:top="904" w:right="239" w:bottom="1440" w:gutter="0" w:footer="0" w:header="0"/>
          <w:type w:val="continuous"/>
        </w:sectPr>
      </w:pPr>
    </w:p>
    <w:p>
      <w:pPr>
        <w:spacing w:after="0" w:line="30"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ABA Routing #:</w:t>
      </w:r>
    </w:p>
    <w:p>
      <w:pPr>
        <w:spacing w:after="0" w:line="50"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SWIFT CODE: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auto"/>
        </w:rPr>
        <w:t>Account Name:</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Account #:</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Reference: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031100089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PNCCUS33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5605012373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“FFC: TapImmune Inc. #2 Acct# 79-3001</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FF0000"/>
        </w:rPr>
        <w:t>[INSERT SUBSCRIBER’S NAME]</w:t>
      </w:r>
      <w:r>
        <w:rPr>
          <w:rFonts w:ascii="Arial" w:cs="Arial" w:eastAsia="Arial" w:hAnsi="Arial"/>
          <w:sz w:val="16"/>
          <w:szCs w:val="16"/>
          <w:color w:val="000000"/>
        </w:rPr>
        <w:t>”</w:t>
      </w:r>
    </w:p>
    <w:p>
      <w:pPr>
        <w:spacing w:after="0" w:line="200" w:lineRule="exact"/>
        <w:rPr>
          <w:sz w:val="20"/>
          <w:szCs w:val="20"/>
          <w:color w:val="auto"/>
        </w:rPr>
      </w:pPr>
    </w:p>
    <w:p>
      <w:pPr>
        <w:sectPr>
          <w:pgSz w:w="11900" w:h="16838" w:orient="portrait"/>
          <w:cols w:equalWidth="0" w:num="2">
            <w:col w:w="3840" w:space="720"/>
            <w:col w:w="6860"/>
          </w:cols>
          <w:pgMar w:left="240" w:top="904" w:right="239" w:bottom="1440" w:gutter="0" w:footer="0" w:header="0"/>
          <w:type w:val="continuous"/>
        </w:sectPr>
      </w:pPr>
    </w:p>
    <w:p>
      <w:pPr>
        <w:spacing w:after="0" w:line="3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Continued on next page</w:t>
      </w:r>
    </w:p>
    <w:p>
      <w:pPr>
        <w:sectPr>
          <w:pgSz w:w="11900" w:h="16838" w:orient="portrait"/>
          <w:cols w:equalWidth="0" w:num="1">
            <w:col w:w="11420"/>
          </w:cols>
          <w:pgMar w:left="240" w:top="904" w:right="2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2" w:name="page53"/>
    <w:bookmarkEnd w:id="52"/>
    <w:p>
      <w:pPr>
        <w:jc w:val="both"/>
        <w:ind w:left="340" w:hanging="332"/>
        <w:spacing w:after="0" w:line="281"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b w:val="1"/>
          <w:bCs w:val="1"/>
          <w:u w:val="single" w:color="auto"/>
          <w:color w:val="auto"/>
        </w:rPr>
        <w:t>If you hold 2016 PIPE Warrants</w:t>
      </w:r>
      <w:r>
        <w:rPr>
          <w:rFonts w:ascii="Arial" w:cs="Arial" w:eastAsia="Arial" w:hAnsi="Arial"/>
          <w:sz w:val="17"/>
          <w:szCs w:val="17"/>
          <w:color w:val="auto"/>
        </w:rPr>
        <w:t>, and you desire to have the exercise price of the 2016 PIPE Warrants reduced from $6.00 per share to the Market</w:t>
      </w:r>
      <w:r>
        <w:rPr>
          <w:rFonts w:ascii="Arial" w:cs="Arial" w:eastAsia="Arial" w:hAnsi="Arial"/>
          <w:sz w:val="17"/>
          <w:szCs w:val="17"/>
          <w:b w:val="1"/>
          <w:bCs w:val="1"/>
          <w:color w:val="auto"/>
        </w:rPr>
        <w:t xml:space="preserve"> </w:t>
      </w:r>
      <w:r>
        <w:rPr>
          <w:rFonts w:ascii="Arial" w:cs="Arial" w:eastAsia="Arial" w:hAnsi="Arial"/>
          <w:sz w:val="17"/>
          <w:szCs w:val="17"/>
          <w:color w:val="auto"/>
        </w:rPr>
        <w:t>Value, you will also have to send an additional amount equal to the number of 2016 PIPE Warrants held by you multiplied by $0.125. Payment of such additional amount should be made in accordance with the instructions set forth in paragraphs 6 and 7 above. Failure to remit such additional amount will result in the Subscriber’s 2016 PIPE Warrants continuing to be exercisable at $6.00 per share of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OMNIBUS SIGNATURE PAGE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SUBSCRIPTION AGREEMENT AND REGISTRATION RIGHTS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desiring to: (i) enter into the Subscription Agreement, dated as of ____________ ___,</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2017 (the “Subscription Agreement”), between the</w:t>
      </w:r>
    </w:p>
    <w:p>
      <w:pPr>
        <w:jc w:val="both"/>
        <w:spacing w:after="0" w:line="251" w:lineRule="auto"/>
        <w:rPr>
          <w:sz w:val="20"/>
          <w:szCs w:val="20"/>
          <w:color w:val="auto"/>
        </w:rPr>
      </w:pPr>
      <w:r>
        <w:rPr>
          <w:rFonts w:ascii="Arial" w:cs="Arial" w:eastAsia="Arial" w:hAnsi="Arial"/>
          <w:sz w:val="18"/>
          <w:szCs w:val="18"/>
          <w:color w:val="auto"/>
        </w:rPr>
        <w:t xml:space="preserve">undersigned, </w:t>
      </w:r>
      <w:r>
        <w:rPr>
          <w:rFonts w:ascii="Arial" w:cs="Arial" w:eastAsia="Arial" w:hAnsi="Arial"/>
          <w:sz w:val="18"/>
          <w:szCs w:val="18"/>
          <w:b w:val="1"/>
          <w:bCs w:val="1"/>
          <w:color w:val="auto"/>
        </w:rPr>
        <w:t>TapImmune Inc.</w:t>
      </w:r>
      <w:r>
        <w:rPr>
          <w:rFonts w:ascii="Arial" w:cs="Arial" w:eastAsia="Arial" w:hAnsi="Arial"/>
          <w:sz w:val="18"/>
          <w:szCs w:val="18"/>
          <w:color w:val="auto"/>
        </w:rPr>
        <w:t>, a Nevada corporation (the “Company”), and the other parties thereto, in or substantially in the form furnished to the undersigned, (ii) enter into the Registration Rights Agreement (the “Registration Rights Agreement”), among the undersigned, the Company and the other parties thereto, in or substantially in the form furnished to the undersigned and (iii) purchase the Units of the Company’s securities as set forth in the Subscription Agreement and below, hereby agrees to purchase such Units from the Company and further agrees to join the Subscription Agreement and the Registration Rights Agreement as a party thereto, with all the rights and privileges appertaining thereto, and to be bound in all respects by the terms and conditions thereof. The undersigned specifically acknowledges having read the representations section in the Subscription Agreement entitled “Representations and Warranties of the Subscriber” and hereby represents that the statements contained therein are complete and accurate with respect to the undersigned as a Subscriber.</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By completing the blanks set forth below entitled “2016 PIPE Warrants Held” and “2016 PIPE Warrant Additional Amount” and remitting an amount equal to such number of 2016 PIPE Warrants multiplied by $0.125 with the undersigned’s Purchase Price for the Units subscribed for hereunder, the undersigned indicates the desire of the undersigned to have the exercise price of the 2016 PIPE Warrants held by the undersigned reduced from $6.00 per share to Market Value (that is, the same exercise price as the Warrants being issued as part of the Units in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Subscriber hereby executes this Subscription Agreement and the Registration Rights Agreement.</w:t>
      </w:r>
    </w:p>
    <w:p>
      <w:pPr>
        <w:sectPr>
          <w:pgSz w:w="11900" w:h="16838" w:orient="portrait"/>
          <w:cols w:equalWidth="0" w:num="1">
            <w:col w:w="11420"/>
          </w:cols>
          <w:pgMar w:left="240" w:top="90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2016 PIPE Warrants Held: 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2016 PIPE Warrant Additional Amount $__________________</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SUBSCRIBER </w:t>
      </w:r>
      <w:r>
        <w:rPr>
          <w:rFonts w:ascii="Arial" w:cs="Arial" w:eastAsia="Arial" w:hAnsi="Arial"/>
          <w:sz w:val="18"/>
          <w:szCs w:val="18"/>
          <w:color w:val="auto"/>
        </w:rPr>
        <w:t>(individual)</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(if Joint Tenants or Tenants in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3267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32670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32670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72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725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725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72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18097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Dollar Amount of Investment in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SUBSCRIBER </w:t>
      </w:r>
      <w:r>
        <w:rPr>
          <w:rFonts w:ascii="Arial" w:cs="Arial" w:eastAsia="Arial" w:hAnsi="Arial"/>
          <w:sz w:val="18"/>
          <w:szCs w:val="18"/>
          <w:color w:val="auto"/>
        </w:rPr>
        <w:t>(entity)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58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58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23837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-130810</wp:posOffset>
            </wp:positionV>
            <wp:extent cx="23837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Address of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32588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32588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32588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IRS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63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63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63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14605</wp:posOffset>
            </wp:positionV>
            <wp:extent cx="1663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5140"/>
          </w:cols>
          <w:pgMar w:left="240" w:top="905" w:right="239" w:bottom="1440" w:gutter="0" w:footer="0" w:header="0"/>
          <w:type w:val="continuous"/>
        </w:sectPr>
      </w:pPr>
    </w:p>
    <w:p>
      <w:pPr>
        <w:spacing w:after="0" w:line="61" w:lineRule="exact"/>
        <w:rPr>
          <w:sz w:val="20"/>
          <w:szCs w:val="20"/>
          <w:color w:val="auto"/>
        </w:rPr>
      </w:pPr>
    </w:p>
    <w:p>
      <w:pPr>
        <w:ind w:left="120" w:hanging="112"/>
        <w:spacing w:after="0"/>
        <w:tabs>
          <w:tab w:leader="none" w:pos="120" w:val="left"/>
        </w:tabs>
        <w:numPr>
          <w:ilvl w:val="0"/>
          <w:numId w:val="56"/>
        </w:numPr>
        <w:rPr>
          <w:rFonts w:ascii="Arial" w:cs="Arial" w:eastAsia="Arial" w:hAnsi="Arial"/>
          <w:sz w:val="24"/>
          <w:szCs w:val="24"/>
          <w:color w:val="auto"/>
          <w:vertAlign w:val="superscript"/>
        </w:rPr>
      </w:pPr>
      <w:r>
        <w:rPr>
          <w:rFonts w:ascii="Arial" w:cs="Arial" w:eastAsia="Arial" w:hAnsi="Arial"/>
          <w:sz w:val="15"/>
          <w:szCs w:val="15"/>
          <w:b w:val="1"/>
          <w:bCs w:val="1"/>
          <w:i w:val="1"/>
          <w:iCs w:val="1"/>
          <w:color w:val="auto"/>
        </w:rPr>
        <w:t>Will reflect the date the Subscription Agreement is accepted and executed by TapImmune Inc. Not to be completed by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970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w w:val="93"/>
              </w:rPr>
              <w:t>TapImmune Inc.</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970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auto"/>
              </w:rPr>
              <w:t>ACCREDITED INVESTOR CERTIFICATION</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970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2"/>
              </w:rPr>
              <w:t>For Individual Investors Only</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9700" w:type="dxa"/>
            <w:vAlign w:val="bottom"/>
            <w:gridSpan w:val="3"/>
          </w:tcPr>
          <w:p>
            <w:pPr>
              <w:jc w:val="center"/>
              <w:ind w:right="1700"/>
              <w:spacing w:after="0"/>
              <w:rPr>
                <w:sz w:val="20"/>
                <w:szCs w:val="20"/>
                <w:color w:val="auto"/>
              </w:rPr>
            </w:pPr>
            <w:r>
              <w:rPr>
                <w:rFonts w:ascii="Arial" w:cs="Arial" w:eastAsia="Arial" w:hAnsi="Arial"/>
                <w:sz w:val="18"/>
                <w:szCs w:val="18"/>
                <w:b w:val="1"/>
                <w:bCs w:val="1"/>
                <w:color w:val="FF0000"/>
                <w:w w:val="94"/>
              </w:rPr>
              <w:t xml:space="preserve">(all Individual Investors must </w:t>
            </w:r>
            <w:r>
              <w:rPr>
                <w:rFonts w:ascii="Arial" w:cs="Arial" w:eastAsia="Arial" w:hAnsi="Arial"/>
                <w:sz w:val="18"/>
                <w:szCs w:val="18"/>
                <w:b w:val="1"/>
                <w:bCs w:val="1"/>
                <w:i w:val="1"/>
                <w:iCs w:val="1"/>
                <w:color w:val="FF0000"/>
                <w:w w:val="94"/>
              </w:rPr>
              <w:t>INITIAL</w:t>
            </w:r>
            <w:r>
              <w:rPr>
                <w:rFonts w:ascii="Arial" w:cs="Arial" w:eastAsia="Arial" w:hAnsi="Arial"/>
                <w:sz w:val="18"/>
                <w:szCs w:val="18"/>
                <w:b w:val="1"/>
                <w:bCs w:val="1"/>
                <w:color w:val="FF0000"/>
                <w:w w:val="94"/>
              </w:rPr>
              <w:t xml:space="preserve"> where appropriate):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6"/>
              </w:rPr>
              <w:t>I have a net worth of at least US$1 million either individually or through aggregating my individual holdings and those in</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6"/>
              </w:rPr>
              <w:t xml:space="preserve">which I have a joint, community property or other similar shared ownership interest with my spouse. </w:t>
            </w:r>
            <w:r>
              <w:rPr>
                <w:rFonts w:ascii="Arial" w:cs="Arial" w:eastAsia="Arial" w:hAnsi="Arial"/>
                <w:sz w:val="18"/>
                <w:szCs w:val="18"/>
                <w:b w:val="1"/>
                <w:bCs w:val="1"/>
                <w:i w:val="1"/>
                <w:iCs w:val="1"/>
                <w:color w:val="auto"/>
                <w:w w:val="96"/>
              </w:rPr>
              <w:t>(For purposes of</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9700" w:type="dxa"/>
            <w:vAlign w:val="bottom"/>
            <w:gridSpan w:val="3"/>
          </w:tcPr>
          <w:p>
            <w:pPr>
              <w:ind w:left="580"/>
              <w:spacing w:after="0" w:line="190" w:lineRule="exact"/>
              <w:rPr>
                <w:sz w:val="20"/>
                <w:szCs w:val="20"/>
                <w:color w:val="auto"/>
              </w:rPr>
            </w:pPr>
            <w:r>
              <w:rPr>
                <w:rFonts w:ascii="Arial" w:cs="Arial" w:eastAsia="Arial" w:hAnsi="Arial"/>
                <w:sz w:val="18"/>
                <w:szCs w:val="18"/>
                <w:b w:val="1"/>
                <w:bCs w:val="1"/>
                <w:i w:val="1"/>
                <w:iCs w:val="1"/>
                <w:color w:val="auto"/>
                <w:w w:val="94"/>
              </w:rPr>
              <w:t>calculating your net worth under this paragraph, (a) your primary residence shall not be included as an asset; (b)</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720" w:type="dxa"/>
            <w:vAlign w:val="bottom"/>
          </w:tcPr>
          <w:p>
            <w:pPr>
              <w:spacing w:after="0"/>
              <w:rPr>
                <w:sz w:val="19"/>
                <w:szCs w:val="19"/>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b w:val="1"/>
                <w:bCs w:val="1"/>
                <w:i w:val="1"/>
                <w:iCs w:val="1"/>
                <w:color w:val="auto"/>
                <w:w w:val="89"/>
              </w:rPr>
              <w:t>indebtedness secured by your primary residence, up to the estimated fair market value of your primary residence at the</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b w:val="1"/>
                <w:bCs w:val="1"/>
                <w:i w:val="1"/>
                <w:iCs w:val="1"/>
                <w:color w:val="auto"/>
                <w:w w:val="87"/>
              </w:rPr>
              <w:t>time of your purchase of the securities, shall not be included as a liability (except that if the amount of such indebtedness</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b w:val="1"/>
                <w:bCs w:val="1"/>
                <w:i w:val="1"/>
                <w:iCs w:val="1"/>
                <w:color w:val="auto"/>
                <w:w w:val="86"/>
              </w:rPr>
              <w:t>outstanding at the time of your purchase of the securities exceeds the amount outstanding 60 days before such time, other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b w:val="1"/>
                <w:bCs w:val="1"/>
                <w:i w:val="1"/>
                <w:iCs w:val="1"/>
                <w:color w:val="auto"/>
                <w:w w:val="88"/>
              </w:rPr>
              <w:t>than as a result of the acquisition of your primary residence, the amount of such excess shall be included as a liability);</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b w:val="1"/>
                <w:bCs w:val="1"/>
                <w:i w:val="1"/>
                <w:iCs w:val="1"/>
                <w:color w:val="auto"/>
                <w:w w:val="86"/>
              </w:rPr>
              <w:t>and (c) indebtedness that is secured by your primary residence in excess of the estimated fair market value of your primary</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b w:val="1"/>
                <w:bCs w:val="1"/>
                <w:i w:val="1"/>
                <w:iCs w:val="1"/>
                <w:color w:val="auto"/>
              </w:rPr>
              <w:t>residence at the time of your purchase of the securities shall be included as a liability.)</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1"/>
              </w:rPr>
              <w:t>I have had an annual gross income for the past two years of at least US$200,000 (or US$300,000 jointly with my spouse) and</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expect my income (or joint income, as appropriate) to reach the same level in the current year.</w:t>
            </w: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20"/>
                <w:szCs w:val="20"/>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I am a director or executive officer of TapImmune Inc.</w:t>
            </w:r>
          </w:p>
        </w:tc>
        <w:tc>
          <w:tcPr>
            <w:tcW w:w="0" w:type="dxa"/>
            <w:vAlign w:val="bottom"/>
          </w:tcPr>
          <w:p>
            <w:pPr>
              <w:spacing w:after="0"/>
              <w:rPr>
                <w:sz w:val="1"/>
                <w:szCs w:val="1"/>
                <w:color w:val="auto"/>
              </w:rPr>
            </w:pPr>
          </w:p>
        </w:tc>
      </w:tr>
      <w:tr>
        <w:trPr>
          <w:trHeight w:val="414"/>
        </w:trPr>
        <w:tc>
          <w:tcPr>
            <w:tcW w:w="1720" w:type="dxa"/>
            <w:vAlign w:val="bottom"/>
          </w:tcPr>
          <w:p>
            <w:pPr>
              <w:spacing w:after="0"/>
              <w:rPr>
                <w:sz w:val="24"/>
                <w:szCs w:val="24"/>
                <w:color w:val="auto"/>
              </w:rPr>
            </w:pPr>
          </w:p>
        </w:tc>
        <w:tc>
          <w:tcPr>
            <w:tcW w:w="970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2"/>
              </w:rPr>
              <w:t>For Non-Individual Investors (Entities)</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9700" w:type="dxa"/>
            <w:vAlign w:val="bottom"/>
            <w:gridSpan w:val="3"/>
          </w:tcPr>
          <w:p>
            <w:pPr>
              <w:jc w:val="center"/>
              <w:ind w:right="1720"/>
              <w:spacing w:after="0"/>
              <w:rPr>
                <w:sz w:val="20"/>
                <w:szCs w:val="20"/>
                <w:color w:val="auto"/>
              </w:rPr>
            </w:pPr>
            <w:r>
              <w:rPr>
                <w:rFonts w:ascii="Arial" w:cs="Arial" w:eastAsia="Arial" w:hAnsi="Arial"/>
                <w:sz w:val="18"/>
                <w:szCs w:val="18"/>
                <w:b w:val="1"/>
                <w:bCs w:val="1"/>
                <w:color w:val="auto"/>
                <w:w w:val="93"/>
              </w:rPr>
              <w:t xml:space="preserve">(all Non-Individual Investors must </w:t>
            </w:r>
            <w:r>
              <w:rPr>
                <w:rFonts w:ascii="Arial" w:cs="Arial" w:eastAsia="Arial" w:hAnsi="Arial"/>
                <w:sz w:val="18"/>
                <w:szCs w:val="18"/>
                <w:b w:val="1"/>
                <w:bCs w:val="1"/>
                <w:i w:val="1"/>
                <w:iCs w:val="1"/>
                <w:color w:val="auto"/>
                <w:w w:val="93"/>
              </w:rPr>
              <w:t>INITIAL</w:t>
            </w:r>
            <w:r>
              <w:rPr>
                <w:rFonts w:ascii="Arial" w:cs="Arial" w:eastAsia="Arial" w:hAnsi="Arial"/>
                <w:sz w:val="18"/>
                <w:szCs w:val="18"/>
                <w:b w:val="1"/>
                <w:bCs w:val="1"/>
                <w:color w:val="auto"/>
                <w:w w:val="93"/>
              </w:rPr>
              <w:t xml:space="preserve"> where appropriate):</w:t>
            </w:r>
          </w:p>
        </w:tc>
        <w:tc>
          <w:tcPr>
            <w:tcW w:w="0" w:type="dxa"/>
            <w:vAlign w:val="bottom"/>
          </w:tcPr>
          <w:p>
            <w:pPr>
              <w:spacing w:after="0"/>
              <w:rPr>
                <w:sz w:val="1"/>
                <w:szCs w:val="1"/>
                <w:color w:val="auto"/>
              </w:rPr>
            </w:pPr>
          </w:p>
        </w:tc>
      </w:tr>
      <w:tr>
        <w:trPr>
          <w:trHeight w:val="418"/>
        </w:trPr>
        <w:tc>
          <w:tcPr>
            <w:tcW w:w="1720" w:type="dxa"/>
            <w:vAlign w:val="bottom"/>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4"/>
              </w:rPr>
              <w:t>The investor certifies that it is a partnership, corporation, limited liability company or business trust that is 100% owned by</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3"/>
              </w:rPr>
              <w:t>persons who meet at least one of the criteria for Individual Investors set forth above (in which case each such person must</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complete the Accreditor Investor Certification for Individuals above as well the remainder of this questionnaire) .</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2"/>
              </w:rPr>
              <w:t>The investor certifies that it is a partnership, corporation, limited liability company or business trust that has total assets of at</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least US$5 million and was not formed for the purpose of investing the Company.</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1"/>
              </w:rPr>
              <w:t>The investor certifies that it is an employee benefit plan whose investment decision is made by a plan fiduciary (as defined in</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ERISA §3(21)) that is a bank, savings and loan association, insurance company or registered investment advisor.</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6"/>
              </w:rPr>
              <w:t>The investor certifies that it is an employee benefit plan whose total assets exceed US$5,000,000 as of the date of this</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5"/>
              </w:rPr>
              <w:t>The undersigned certifies that it is a self-directed employee benefit plan whose investment decisions are made solely by</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persons who meet at least one of the criteria for Individual Investors.</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5"/>
              </w:rPr>
              <w:t>The investor certifies that it is a U.S. bank, U.S. savings and loan association or other similar U.S. institution acting in its</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individual or fiduciary capacity.</w:t>
            </w:r>
          </w:p>
        </w:tc>
        <w:tc>
          <w:tcPr>
            <w:tcW w:w="0" w:type="dxa"/>
            <w:vAlign w:val="bottom"/>
          </w:tcPr>
          <w:p>
            <w:pPr>
              <w:spacing w:after="0"/>
              <w:rPr>
                <w:sz w:val="1"/>
                <w:szCs w:val="1"/>
                <w:color w:val="auto"/>
              </w:rPr>
            </w:pPr>
          </w:p>
        </w:tc>
      </w:tr>
      <w:tr>
        <w:trPr>
          <w:trHeight w:val="212"/>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7"/>
              </w:rPr>
              <w:t>The undersigned certifies that it is a broker-dealer registered pursuant to §15 of the Securities Exchange Act of 1934.</w:t>
            </w:r>
          </w:p>
        </w:tc>
        <w:tc>
          <w:tcPr>
            <w:tcW w:w="0" w:type="dxa"/>
            <w:vAlign w:val="bottom"/>
          </w:tcPr>
          <w:p>
            <w:pPr>
              <w:spacing w:after="0"/>
              <w:rPr>
                <w:sz w:val="1"/>
                <w:szCs w:val="1"/>
                <w:color w:val="auto"/>
              </w:rPr>
            </w:pPr>
          </w:p>
        </w:tc>
      </w:tr>
      <w:tr>
        <w:trPr>
          <w:trHeight w:val="220"/>
        </w:trPr>
        <w:tc>
          <w:tcPr>
            <w:tcW w:w="1720" w:type="dxa"/>
            <w:vAlign w:val="bottom"/>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8"/>
              </w:rPr>
              <w:t>The investor certifies that it is an organization described in §501(c)(3) of the Internal Revenue Code with total assets</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exceeding US$5,000,000 and not formed for the specific purpose of investing in the Company.</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7"/>
              </w:rPr>
              <w:t>The investor certifies that it is a trust with total assets of at least US$5,000,000, not formed for the specific purpose of</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2"/>
              </w:rPr>
              <w:t>investing in the Company, and whose purchase is directed by a person with such knowledge and experience in financial and</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business matters that such person is capable of evaluating the merits and risks of the prospective investment.</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5"/>
              </w:rPr>
              <w:t>The investor certifies that it is a plan established and maintained by a state or its political subdivisions, or any agency or</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20"/>
                <w:szCs w:val="20"/>
                <w:color w:val="auto"/>
              </w:rPr>
            </w:pPr>
            <w:r>
              <w:rPr>
                <w:rFonts w:ascii="Arial" w:cs="Arial" w:eastAsia="Arial" w:hAnsi="Arial"/>
                <w:sz w:val="18"/>
                <w:szCs w:val="18"/>
                <w:b w:val="1"/>
                <w:bCs w:val="1"/>
                <w:color w:val="auto"/>
              </w:rPr>
              <w:t>Initial _______</w:t>
            </w: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instrumentality thereof, for the benefit of its employees, and which has total assets in excess of US$5,000,000.</w:t>
            </w: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w w:val="96"/>
              </w:rPr>
              <w:t>The investor certifies that it is an insurance company as defined in §2(13) of the Securities Act of 1933, or a registered</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9700" w:type="dxa"/>
            <w:vAlign w:val="bottom"/>
            <w:gridSpan w:val="3"/>
          </w:tcPr>
          <w:p>
            <w:pPr>
              <w:ind w:left="580"/>
              <w:spacing w:after="0"/>
              <w:rPr>
                <w:sz w:val="20"/>
                <w:szCs w:val="20"/>
                <w:color w:val="auto"/>
              </w:rPr>
            </w:pPr>
            <w:r>
              <w:rPr>
                <w:rFonts w:ascii="Arial" w:cs="Arial" w:eastAsia="Arial" w:hAnsi="Arial"/>
                <w:sz w:val="18"/>
                <w:szCs w:val="18"/>
                <w:color w:val="auto"/>
              </w:rPr>
              <w:t>investment company.</w:t>
            </w:r>
          </w:p>
        </w:tc>
        <w:tc>
          <w:tcPr>
            <w:tcW w:w="0" w:type="dxa"/>
            <w:vAlign w:val="bottom"/>
          </w:tcPr>
          <w:p>
            <w:pPr>
              <w:spacing w:after="0"/>
              <w:rPr>
                <w:sz w:val="1"/>
                <w:szCs w:val="1"/>
                <w:color w:val="auto"/>
              </w:rPr>
            </w:pPr>
          </w:p>
        </w:tc>
      </w:tr>
      <w:tr>
        <w:trPr>
          <w:trHeight w:val="675"/>
        </w:trPr>
        <w:tc>
          <w:tcPr>
            <w:tcW w:w="1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 Profile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(Must be completed by Investor)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A - Personal Investor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59347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Individual executing Profile 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14605</wp:posOffset>
            </wp:positionV>
            <wp:extent cx="4707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Numbers / Federal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14605</wp:posOffset>
            </wp:positionV>
            <wp:extent cx="43478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Date of Birth:</w:t>
            </w:r>
          </w:p>
        </w:tc>
        <w:tc>
          <w:tcPr>
            <w:tcW w:w="2300" w:type="dxa"/>
            <w:vAlign w:val="bottom"/>
            <w:tcBorders>
              <w:bottom w:val="single" w:sz="8" w:color="auto"/>
            </w:tcBorders>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color w:val="auto"/>
              </w:rPr>
              <w:t>Marital Status:</w:t>
            </w:r>
          </w:p>
        </w:tc>
      </w:tr>
      <w:tr>
        <w:trPr>
          <w:trHeight w:val="210"/>
        </w:trPr>
        <w:tc>
          <w:tcPr>
            <w:tcW w:w="2520" w:type="dxa"/>
            <w:vAlign w:val="bottom"/>
          </w:tcPr>
          <w:p>
            <w:pPr>
              <w:spacing w:after="0"/>
              <w:rPr>
                <w:sz w:val="20"/>
                <w:szCs w:val="20"/>
                <w:color w:val="auto"/>
              </w:rPr>
            </w:pPr>
            <w:r>
              <w:rPr>
                <w:rFonts w:ascii="Arial" w:cs="Arial" w:eastAsia="Arial" w:hAnsi="Arial"/>
                <w:sz w:val="18"/>
                <w:szCs w:val="18"/>
                <w:color w:val="auto"/>
              </w:rPr>
              <w:t>Joint Party Date of Birth:</w:t>
            </w:r>
          </w:p>
        </w:tc>
        <w:tc>
          <w:tcPr>
            <w:tcW w:w="2300" w:type="dxa"/>
            <w:vAlign w:val="bottom"/>
            <w:tcBorders>
              <w:bottom w:val="single" w:sz="8" w:color="auto"/>
            </w:tcBorders>
          </w:tcPr>
          <w:p>
            <w:pPr>
              <w:spacing w:after="0"/>
              <w:rPr>
                <w:sz w:val="18"/>
                <w:szCs w:val="18"/>
                <w:color w:val="auto"/>
              </w:rPr>
            </w:pPr>
          </w:p>
        </w:tc>
        <w:tc>
          <w:tcPr>
            <w:tcW w:w="3400" w:type="dxa"/>
            <w:vAlign w:val="bottom"/>
          </w:tcPr>
          <w:p>
            <w:pPr>
              <w:ind w:left="1140"/>
              <w:spacing w:after="0"/>
              <w:rPr>
                <w:sz w:val="20"/>
                <w:szCs w:val="20"/>
                <w:color w:val="auto"/>
              </w:rPr>
            </w:pPr>
            <w:r>
              <w:rPr>
                <w:rFonts w:ascii="Arial" w:cs="Arial" w:eastAsia="Arial" w:hAnsi="Arial"/>
                <w:sz w:val="18"/>
                <w:szCs w:val="18"/>
                <w:color w:val="auto"/>
                <w:w w:val="88"/>
              </w:rPr>
              <w:t>Investment Experience (Years):</w:t>
            </w:r>
          </w:p>
        </w:tc>
      </w:tr>
      <w:tr>
        <w:trPr>
          <w:trHeight w:val="210"/>
        </w:trPr>
        <w:tc>
          <w:tcPr>
            <w:tcW w:w="2520" w:type="dxa"/>
            <w:vAlign w:val="bottom"/>
          </w:tcPr>
          <w:p>
            <w:pPr>
              <w:spacing w:after="0"/>
              <w:rPr>
                <w:sz w:val="20"/>
                <w:szCs w:val="20"/>
                <w:color w:val="auto"/>
              </w:rPr>
            </w:pPr>
            <w:r>
              <w:rPr>
                <w:rFonts w:ascii="Arial" w:cs="Arial" w:eastAsia="Arial" w:hAnsi="Arial"/>
                <w:sz w:val="18"/>
                <w:szCs w:val="18"/>
                <w:color w:val="auto"/>
              </w:rPr>
              <w:t>Annual Income:</w:t>
            </w:r>
          </w:p>
        </w:tc>
        <w:tc>
          <w:tcPr>
            <w:tcW w:w="2300" w:type="dxa"/>
            <w:vAlign w:val="bottom"/>
            <w:tcBorders>
              <w:bottom w:val="single" w:sz="8" w:color="auto"/>
            </w:tcBorders>
          </w:tcPr>
          <w:p>
            <w:pPr>
              <w:spacing w:after="0"/>
              <w:rPr>
                <w:sz w:val="18"/>
                <w:szCs w:val="18"/>
                <w:color w:val="auto"/>
              </w:rPr>
            </w:pPr>
          </w:p>
        </w:tc>
        <w:tc>
          <w:tcPr>
            <w:tcW w:w="3400" w:type="dxa"/>
            <w:vAlign w:val="bottom"/>
          </w:tcPr>
          <w:p>
            <w:pPr>
              <w:ind w:left="1140"/>
              <w:spacing w:after="0"/>
              <w:rPr>
                <w:sz w:val="20"/>
                <w:szCs w:val="20"/>
                <w:color w:val="auto"/>
              </w:rPr>
            </w:pPr>
            <w:r>
              <w:rPr>
                <w:rFonts w:ascii="Arial" w:cs="Arial" w:eastAsia="Arial" w:hAnsi="Arial"/>
                <w:sz w:val="18"/>
                <w:szCs w:val="18"/>
                <w:color w:val="auto"/>
              </w:rPr>
              <w:t>Liquid Net Worth: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-8255</wp:posOffset>
            </wp:positionV>
            <wp:extent cx="13722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-153670</wp:posOffset>
            </wp:positionV>
            <wp:extent cx="13722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-299720</wp:posOffset>
            </wp:positionV>
            <wp:extent cx="13722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4"/>
          </w:tcPr>
          <w:p>
            <w:pPr>
              <w:spacing w:after="0"/>
              <w:rPr>
                <w:sz w:val="20"/>
                <w:szCs w:val="20"/>
                <w:color w:val="auto"/>
              </w:rPr>
            </w:pPr>
            <w:r>
              <w:rPr>
                <w:rFonts w:ascii="Arial" w:cs="Arial" w:eastAsia="Arial" w:hAnsi="Arial"/>
                <w:sz w:val="18"/>
                <w:szCs w:val="18"/>
                <w:color w:val="auto"/>
              </w:rPr>
              <w:t>Net Worth*:</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26"/>
        </w:trPr>
        <w:tc>
          <w:tcPr>
            <w:tcW w:w="2500" w:type="dxa"/>
            <w:vAlign w:val="bottom"/>
            <w:gridSpan w:val="4"/>
          </w:tcPr>
          <w:p>
            <w:pPr>
              <w:spacing w:after="0"/>
              <w:rPr>
                <w:sz w:val="20"/>
                <w:szCs w:val="20"/>
                <w:color w:val="auto"/>
              </w:rPr>
            </w:pPr>
            <w:r>
              <w:rPr>
                <w:rFonts w:ascii="Arial" w:cs="Arial" w:eastAsia="Arial" w:hAnsi="Arial"/>
                <w:sz w:val="18"/>
                <w:szCs w:val="18"/>
                <w:color w:val="auto"/>
              </w:rPr>
              <w:t>Tax Bracket:</w:t>
            </w:r>
          </w:p>
        </w:tc>
        <w:tc>
          <w:tcPr>
            <w:tcW w:w="2320" w:type="dxa"/>
            <w:vAlign w:val="bottom"/>
            <w:gridSpan w:val="6"/>
          </w:tcPr>
          <w:p>
            <w:pPr>
              <w:ind w:left="20"/>
              <w:spacing w:after="0"/>
              <w:rPr>
                <w:sz w:val="20"/>
                <w:szCs w:val="20"/>
                <w:color w:val="auto"/>
              </w:rPr>
            </w:pPr>
            <w:r>
              <w:rPr>
                <w:rFonts w:ascii="Arial" w:cs="Arial" w:eastAsia="Arial" w:hAnsi="Arial"/>
                <w:sz w:val="18"/>
                <w:szCs w:val="18"/>
                <w:color w:val="auto"/>
              </w:rPr>
              <w:t>_____ 15% or below</w:t>
            </w:r>
          </w:p>
        </w:tc>
        <w:tc>
          <w:tcPr>
            <w:tcW w:w="2600" w:type="dxa"/>
            <w:vAlign w:val="bottom"/>
            <w:gridSpan w:val="2"/>
          </w:tcPr>
          <w:p>
            <w:pPr>
              <w:jc w:val="right"/>
              <w:ind w:right="480"/>
              <w:spacing w:after="0"/>
              <w:rPr>
                <w:sz w:val="20"/>
                <w:szCs w:val="20"/>
                <w:color w:val="auto"/>
              </w:rPr>
            </w:pPr>
            <w:r>
              <w:rPr>
                <w:rFonts w:ascii="Arial" w:cs="Arial" w:eastAsia="Arial" w:hAnsi="Arial"/>
                <w:sz w:val="18"/>
                <w:szCs w:val="18"/>
                <w:color w:val="auto"/>
              </w:rPr>
              <w:t>_____ 25% - 27.5%</w:t>
            </w:r>
          </w:p>
        </w:tc>
        <w:tc>
          <w:tcPr>
            <w:tcW w:w="140" w:type="dxa"/>
            <w:vAlign w:val="bottom"/>
          </w:tcPr>
          <w:p>
            <w:pPr>
              <w:spacing w:after="0"/>
              <w:rPr>
                <w:sz w:val="24"/>
                <w:szCs w:val="24"/>
                <w:color w:val="auto"/>
              </w:rPr>
            </w:pPr>
          </w:p>
        </w:tc>
        <w:tc>
          <w:tcPr>
            <w:tcW w:w="3860" w:type="dxa"/>
            <w:vAlign w:val="bottom"/>
            <w:gridSpan w:val="2"/>
          </w:tcPr>
          <w:p>
            <w:pPr>
              <w:ind w:left="900"/>
              <w:spacing w:after="0"/>
              <w:rPr>
                <w:sz w:val="20"/>
                <w:szCs w:val="20"/>
                <w:color w:val="auto"/>
              </w:rPr>
            </w:pPr>
            <w:r>
              <w:rPr>
                <w:rFonts w:ascii="Arial" w:cs="Arial" w:eastAsia="Arial" w:hAnsi="Arial"/>
                <w:sz w:val="18"/>
                <w:szCs w:val="18"/>
                <w:color w:val="auto"/>
              </w:rPr>
              <w:t>_____ Over 27.5%</w:t>
            </w:r>
          </w:p>
        </w:tc>
      </w:tr>
      <w:tr>
        <w:trPr>
          <w:trHeight w:val="432"/>
        </w:trPr>
        <w:tc>
          <w:tcPr>
            <w:tcW w:w="2080" w:type="dxa"/>
            <w:vAlign w:val="bottom"/>
            <w:gridSpan w:val="3"/>
          </w:tcPr>
          <w:p>
            <w:pPr>
              <w:spacing w:after="0"/>
              <w:rPr>
                <w:sz w:val="20"/>
                <w:szCs w:val="20"/>
                <w:color w:val="auto"/>
              </w:rPr>
            </w:pPr>
            <w:r>
              <w:rPr>
                <w:rFonts w:ascii="Arial" w:cs="Arial" w:eastAsia="Arial" w:hAnsi="Arial"/>
                <w:sz w:val="18"/>
                <w:szCs w:val="18"/>
                <w:color w:val="auto"/>
              </w:rPr>
              <w:t>Home Street Address:</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26"/>
        </w:trPr>
        <w:tc>
          <w:tcPr>
            <w:tcW w:w="2500" w:type="dxa"/>
            <w:vAlign w:val="bottom"/>
            <w:gridSpan w:val="4"/>
          </w:tcPr>
          <w:p>
            <w:pPr>
              <w:spacing w:after="0"/>
              <w:rPr>
                <w:sz w:val="20"/>
                <w:szCs w:val="20"/>
                <w:color w:val="auto"/>
              </w:rPr>
            </w:pPr>
            <w:r>
              <w:rPr>
                <w:rFonts w:ascii="Arial" w:cs="Arial" w:eastAsia="Arial" w:hAnsi="Arial"/>
                <w:sz w:val="18"/>
                <w:szCs w:val="18"/>
                <w:color w:val="auto"/>
              </w:rPr>
              <w:t>Home City, State &amp; Zip Code: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26"/>
        </w:trPr>
        <w:tc>
          <w:tcPr>
            <w:tcW w:w="1720" w:type="dxa"/>
            <w:vAlign w:val="bottom"/>
            <w:gridSpan w:val="2"/>
          </w:tcPr>
          <w:p>
            <w:pPr>
              <w:spacing w:after="0"/>
              <w:rPr>
                <w:sz w:val="20"/>
                <w:szCs w:val="20"/>
                <w:color w:val="auto"/>
              </w:rPr>
            </w:pPr>
            <w:r>
              <w:rPr>
                <w:rFonts w:ascii="Arial" w:cs="Arial" w:eastAsia="Arial" w:hAnsi="Arial"/>
                <w:sz w:val="18"/>
                <w:szCs w:val="18"/>
                <w:color w:val="auto"/>
              </w:rPr>
              <w:t>Home Phone:</w:t>
            </w:r>
          </w:p>
        </w:tc>
        <w:tc>
          <w:tcPr>
            <w:tcW w:w="7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Home Fax:</w:t>
            </w:r>
          </w:p>
        </w:tc>
        <w:tc>
          <w:tcPr>
            <w:tcW w:w="80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Home Email:</w:t>
            </w:r>
          </w:p>
        </w:tc>
        <w:tc>
          <w:tcPr>
            <w:tcW w:w="1940" w:type="dxa"/>
            <w:vAlign w:val="bottom"/>
            <w:tcBorders>
              <w:bottom w:val="single" w:sz="8" w:color="auto"/>
            </w:tcBorders>
          </w:tcPr>
          <w:p>
            <w:pPr>
              <w:spacing w:after="0"/>
              <w:rPr>
                <w:sz w:val="24"/>
                <w:szCs w:val="24"/>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Employer:</w:t>
            </w:r>
          </w:p>
        </w:tc>
        <w:tc>
          <w:tcPr>
            <w:tcW w:w="112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26"/>
        </w:trPr>
        <w:tc>
          <w:tcPr>
            <w:tcW w:w="2500" w:type="dxa"/>
            <w:vAlign w:val="bottom"/>
            <w:gridSpan w:val="4"/>
          </w:tcPr>
          <w:p>
            <w:pPr>
              <w:spacing w:after="0"/>
              <w:rPr>
                <w:sz w:val="20"/>
                <w:szCs w:val="20"/>
                <w:color w:val="auto"/>
              </w:rPr>
            </w:pPr>
            <w:r>
              <w:rPr>
                <w:rFonts w:ascii="Arial" w:cs="Arial" w:eastAsia="Arial" w:hAnsi="Arial"/>
                <w:sz w:val="18"/>
                <w:szCs w:val="18"/>
                <w:color w:val="auto"/>
              </w:rPr>
              <w:t>Employer Street Address: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26"/>
        </w:trPr>
        <w:tc>
          <w:tcPr>
            <w:tcW w:w="2500" w:type="dxa"/>
            <w:vAlign w:val="bottom"/>
            <w:gridSpan w:val="4"/>
          </w:tcPr>
          <w:p>
            <w:pPr>
              <w:spacing w:after="0"/>
              <w:rPr>
                <w:sz w:val="20"/>
                <w:szCs w:val="20"/>
                <w:color w:val="auto"/>
              </w:rPr>
            </w:pPr>
            <w:r>
              <w:rPr>
                <w:rFonts w:ascii="Arial" w:cs="Arial" w:eastAsia="Arial" w:hAnsi="Arial"/>
                <w:sz w:val="18"/>
                <w:szCs w:val="18"/>
                <w:color w:val="auto"/>
                <w:w w:val="93"/>
              </w:rPr>
              <w:t>Employer City, State &amp; Zip Code:</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26"/>
        </w:trPr>
        <w:tc>
          <w:tcPr>
            <w:tcW w:w="1720" w:type="dxa"/>
            <w:vAlign w:val="bottom"/>
            <w:gridSpan w:val="2"/>
          </w:tcPr>
          <w:p>
            <w:pPr>
              <w:spacing w:after="0"/>
              <w:rPr>
                <w:sz w:val="20"/>
                <w:szCs w:val="20"/>
                <w:color w:val="auto"/>
              </w:rPr>
            </w:pPr>
            <w:r>
              <w:rPr>
                <w:rFonts w:ascii="Arial" w:cs="Arial" w:eastAsia="Arial" w:hAnsi="Arial"/>
                <w:sz w:val="18"/>
                <w:szCs w:val="18"/>
                <w:color w:val="auto"/>
              </w:rPr>
              <w:t>Bus. Phone:</w:t>
            </w:r>
          </w:p>
        </w:tc>
        <w:tc>
          <w:tcPr>
            <w:tcW w:w="7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Bus. Fax:</w:t>
            </w:r>
          </w:p>
        </w:tc>
        <w:tc>
          <w:tcPr>
            <w:tcW w:w="80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Pr>
          <w:p>
            <w:pPr>
              <w:ind w:left="220"/>
              <w:spacing w:after="0"/>
              <w:rPr>
                <w:sz w:val="20"/>
                <w:szCs w:val="20"/>
                <w:color w:val="auto"/>
              </w:rPr>
            </w:pPr>
            <w:r>
              <w:rPr>
                <w:rFonts w:ascii="Arial" w:cs="Arial" w:eastAsia="Arial" w:hAnsi="Arial"/>
                <w:sz w:val="18"/>
                <w:szCs w:val="18"/>
                <w:color w:val="auto"/>
              </w:rPr>
              <w:t>Bus. Email:</w:t>
            </w:r>
          </w:p>
        </w:tc>
        <w:tc>
          <w:tcPr>
            <w:tcW w:w="1940" w:type="dxa"/>
            <w:vAlign w:val="bottom"/>
            <w:tcBorders>
              <w:bottom w:val="single" w:sz="8" w:color="auto"/>
            </w:tcBorders>
          </w:tcPr>
          <w:p>
            <w:pPr>
              <w:spacing w:after="0"/>
              <w:rPr>
                <w:sz w:val="24"/>
                <w:szCs w:val="24"/>
                <w:color w:val="auto"/>
              </w:rPr>
            </w:pPr>
          </w:p>
        </w:tc>
      </w:tr>
      <w:tr>
        <w:trPr>
          <w:trHeight w:val="426"/>
        </w:trPr>
        <w:tc>
          <w:tcPr>
            <w:tcW w:w="2080" w:type="dxa"/>
            <w:vAlign w:val="bottom"/>
            <w:gridSpan w:val="3"/>
          </w:tcPr>
          <w:p>
            <w:pPr>
              <w:spacing w:after="0"/>
              <w:rPr>
                <w:sz w:val="20"/>
                <w:szCs w:val="20"/>
                <w:color w:val="auto"/>
              </w:rPr>
            </w:pPr>
            <w:r>
              <w:rPr>
                <w:rFonts w:ascii="Arial" w:cs="Arial" w:eastAsia="Arial" w:hAnsi="Arial"/>
                <w:sz w:val="18"/>
                <w:szCs w:val="18"/>
                <w:color w:val="auto"/>
              </w:rPr>
              <w:t>Type of Business:</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426"/>
        </w:trPr>
        <w:tc>
          <w:tcPr>
            <w:tcW w:w="2500" w:type="dxa"/>
            <w:vAlign w:val="bottom"/>
            <w:gridSpan w:val="4"/>
          </w:tcPr>
          <w:p>
            <w:pPr>
              <w:spacing w:after="0"/>
              <w:rPr>
                <w:sz w:val="20"/>
                <w:szCs w:val="20"/>
                <w:color w:val="auto"/>
              </w:rPr>
            </w:pPr>
            <w:r>
              <w:rPr>
                <w:rFonts w:ascii="Arial" w:cs="Arial" w:eastAsia="Arial" w:hAnsi="Arial"/>
                <w:sz w:val="18"/>
                <w:szCs w:val="18"/>
                <w:color w:val="auto"/>
              </w:rPr>
              <w:t>Outside Broker/Dealer:</w:t>
            </w: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r>
        <w:trPr>
          <w:trHeight w:val="385"/>
        </w:trPr>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Section B – Certificate Delivery Instructions</w:t>
            </w: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 Please deliver certificate to the Employer Address listed in Section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 Please deliver certificate to the Home Address listed in Section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 Please deliver certificate to the following address: ________________________________________________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C – Form of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____ Check payable to </w:t>
      </w:r>
      <w:r>
        <w:rPr>
          <w:rFonts w:ascii="Arial" w:cs="Arial" w:eastAsia="Arial" w:hAnsi="Arial"/>
          <w:sz w:val="18"/>
          <w:szCs w:val="18"/>
          <w:b w:val="1"/>
          <w:bCs w:val="1"/>
          <w:color w:val="auto"/>
        </w:rPr>
        <w:t>Delaware Trust Company, as Escrow Agent for TapImmune Inc., Acct #79-3001</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____ Wire funds from my outside account according to Section 2(b) of the Subscription Agreement, to Delaware Trust Company, Escrow Agent for</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TapImmune Inc. #2 Acct #79-3001.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 The funds for this investment are rolled over, tax deferred from __________ within the allowed 60 day window.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check if you are a FINRA member or affiliate of a FINRA member firm: ____</w:t>
      </w:r>
    </w:p>
    <w:p>
      <w:pPr>
        <w:spacing w:after="0" w:line="200" w:lineRule="exact"/>
        <w:rPr>
          <w:sz w:val="20"/>
          <w:szCs w:val="20"/>
          <w:color w:val="auto"/>
        </w:rPr>
      </w:pPr>
    </w:p>
    <w:p>
      <w:pPr>
        <w:spacing w:after="0" w:line="251" w:lineRule="exact"/>
        <w:rPr>
          <w:sz w:val="20"/>
          <w:szCs w:val="20"/>
          <w:color w:val="auto"/>
        </w:rPr>
      </w:pPr>
    </w:p>
    <w:p>
      <w:pPr>
        <w:spacing w:after="0"/>
        <w:tabs>
          <w:tab w:leader="none" w:pos="7420" w:val="left"/>
        </w:tabs>
        <w:rPr>
          <w:sz w:val="20"/>
          <w:szCs w:val="20"/>
          <w:color w:val="auto"/>
        </w:rPr>
      </w:pPr>
      <w:r>
        <w:rPr>
          <w:rFonts w:ascii="Arial" w:cs="Arial" w:eastAsia="Arial" w:hAnsi="Arial"/>
          <w:sz w:val="18"/>
          <w:szCs w:val="18"/>
          <w:b w:val="1"/>
          <w:bCs w:val="1"/>
          <w:color w:val="auto"/>
        </w:rPr>
        <w:t>Investor 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-127635</wp:posOffset>
            </wp:positionV>
            <wp:extent cx="25298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298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5387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5" w:lineRule="exact"/>
        <w:rPr>
          <w:sz w:val="20"/>
          <w:szCs w:val="20"/>
          <w:color w:val="auto"/>
        </w:rPr>
      </w:pPr>
    </w:p>
    <w:p>
      <w:pPr>
        <w:jc w:val="both"/>
        <w:ind w:left="180" w:hanging="172"/>
        <w:spacing w:after="0" w:line="295" w:lineRule="auto"/>
        <w:tabs>
          <w:tab w:leader="none" w:pos="18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 purposes of calculating your net worth in this form, (a) </w:t>
      </w:r>
      <w:r>
        <w:rPr>
          <w:rFonts w:ascii="Arial" w:cs="Arial" w:eastAsia="Arial" w:hAnsi="Arial"/>
          <w:sz w:val="16"/>
          <w:szCs w:val="16"/>
          <w:b w:val="1"/>
          <w:bCs w:val="1"/>
          <w:u w:val="single" w:color="auto"/>
          <w:color w:val="auto"/>
        </w:rPr>
        <w:t>your primary residence shall not be included as an asset</w:t>
      </w:r>
      <w:r>
        <w:rPr>
          <w:rFonts w:ascii="Arial" w:cs="Arial" w:eastAsia="Arial" w:hAnsi="Arial"/>
          <w:sz w:val="16"/>
          <w:szCs w:val="16"/>
          <w:b w:val="1"/>
          <w:bCs w:val="1"/>
          <w:color w:val="auto"/>
        </w:rPr>
        <w:t>; (b) indebtedness secured by your primary residence, up to the estimated fair market value of your primary residence at the time of your purchase of the securities, shall not be included as a liability (except that if the amount of such indebtedness outstanding at the time of your purchase of the securities exceeds the amount outstanding 60 days before such time, other than as a result of the acquisition of your primary residence, the amount of such excess shall be included as a liability); and (c) indebtedness that is secured by your primary residence in excess of the estimated fair market value of your primary residence at the time of your purchase of the securities shall be included as 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ANTI MONEY LAUNDERING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USA PATRIOT Act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USA PATRIOT Act is designed to detect, deter, and punish terrorists in the United States and abroad. The Act imposes new anti-money laundering requirements on brokerage firms and financial institutions. Since April 24, 2002 all brokerage firms have been required to have new, comprehensive anti-money laundering programs.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help you understand these efforts, we want to provide you with some information about money laundering and our steps to implement the USA PATRIOT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money laundering?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Money laundering is the process of disguising illegally obtained money so that the funds appear to come from legitimate sources or activities. Money laundering occurs in connection with a wide variety of crimes, including illegal arms sales, drug trafficking, robbery, fraud, racketeering, and terrorism.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big is the problem and why is it important?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use of the U.S. financial system by criminals to facilitate terrorism or other crimes could well taint our financial markets. According to the U.S. State Department, one recent estimate puts the amount of worldwide money laundering activity at $1 trillion a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we required to do to eliminate money laundering?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rules required by the USA PATRIOT Act, our anti-money laundering program must designate a special compliance officer, set up employee training, conduct independent audits, and establish policies and procedures to detect and report suspicious transaction and ensure compliance with such laws. As part of our required program, we may ask you to provide various identification documents or other information. Until you provide the information or documents we need, we may not be able to effect any transactions for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ANTI-MONEY LAUNDERING INFORMATION FORM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following is required in accordance with the AML provision of the USA PATRIOT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FF0000"/>
        </w:rPr>
        <w:t>(Please fill out and return with requested documentation.)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wp:posOffset>
            </wp:positionV>
            <wp:extent cx="31127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wp:posOffset>
            </wp:positionV>
            <wp:extent cx="31127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SSN# or TAX ID#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wp:posOffset>
            </wp:positionV>
            <wp:extent cx="31127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YEARLY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wp:posOffset>
            </wp:positionV>
            <wp:extent cx="31127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spacing w:after="0"/>
        <w:tabs>
          <w:tab w:leader="none" w:pos="8640" w:val="left"/>
        </w:tabs>
        <w:rPr>
          <w:sz w:val="20"/>
          <w:szCs w:val="20"/>
          <w:color w:val="auto"/>
        </w:rPr>
      </w:pPr>
      <w:r>
        <w:rPr>
          <w:rFonts w:ascii="Arial" w:cs="Arial" w:eastAsia="Arial" w:hAnsi="Arial"/>
          <w:sz w:val="18"/>
          <w:szCs w:val="18"/>
          <w:b w:val="1"/>
          <w:bCs w:val="1"/>
          <w:color w:val="auto"/>
        </w:rPr>
        <w:t>NET WORTH:</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wp:posOffset>
            </wp:positionV>
            <wp:extent cx="31127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jc w:val="both"/>
        <w:ind w:firstLine="8"/>
        <w:spacing w:after="0" w:line="274" w:lineRule="auto"/>
        <w:tabs>
          <w:tab w:leader="none" w:pos="142"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 purposes of calculating your net worth in this form, (a) </w:t>
      </w:r>
      <w:r>
        <w:rPr>
          <w:rFonts w:ascii="Arial" w:cs="Arial" w:eastAsia="Arial" w:hAnsi="Arial"/>
          <w:sz w:val="17"/>
          <w:szCs w:val="17"/>
          <w:b w:val="1"/>
          <w:bCs w:val="1"/>
          <w:u w:val="single" w:color="auto"/>
          <w:color w:val="auto"/>
        </w:rPr>
        <w:t>your primary residence shall not be included as an asset</w:t>
      </w:r>
      <w:r>
        <w:rPr>
          <w:rFonts w:ascii="Arial" w:cs="Arial" w:eastAsia="Arial" w:hAnsi="Arial"/>
          <w:sz w:val="17"/>
          <w:szCs w:val="17"/>
          <w:b w:val="1"/>
          <w:bCs w:val="1"/>
          <w:color w:val="auto"/>
        </w:rPr>
        <w:t>; (b) indebtedness secured by your primary residence, up to the estimated fair market value of your primary residence at the time of your purchase of the securities, shall not be included as a liability (except that if the amount of such indebtedness outstanding at the time of your purchase of the securities exceeds the amount outstanding 60 days before such time, other than as a result of the acquisition of your primary residence, the amount of such excess shall be included as a liability); and (c) indebtedness that is secured by your primary residence in excess of the estimated fair market value of your primary residence at the time of your purchase of the securities shall be included as a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FF0000"/>
        </w:rPr>
        <w:t>INVESTMENT OBJECTIVE(S) (FOR ALL INVESTORS)</w:t>
      </w:r>
      <w:r>
        <w:rPr>
          <w:rFonts w:ascii="Arial" w:cs="Arial" w:eastAsia="Arial" w:hAnsi="Arial"/>
          <w:sz w:val="18"/>
          <w:szCs w:val="18"/>
          <w:b w:val="1"/>
          <w:bCs w:val="1"/>
          <w:color w:val="000000"/>
        </w:rPr>
        <w:t>: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BUSINESS OR OF EMPLOYER:________________________________</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INDIVIDUALS</w:t>
      </w:r>
      <w:r>
        <w:rPr>
          <w:rFonts w:ascii="Arial" w:cs="Arial" w:eastAsia="Arial" w:hAnsi="Arial"/>
          <w:sz w:val="18"/>
          <w:szCs w:val="18"/>
          <w:b w:val="1"/>
          <w:bCs w:val="1"/>
          <w:color w:val="auto"/>
        </w:rPr>
        <w:t>: AGE: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INDIVIDUALS</w:t>
      </w:r>
      <w:r>
        <w:rPr>
          <w:rFonts w:ascii="Arial" w:cs="Arial" w:eastAsia="Arial" w:hAnsi="Arial"/>
          <w:sz w:val="18"/>
          <w:szCs w:val="18"/>
          <w:b w:val="1"/>
          <w:bCs w:val="1"/>
          <w:color w:val="auto"/>
        </w:rPr>
        <w:t xml:space="preserve">: OCCUPATION: </w:t>
      </w:r>
      <w:r>
        <w:rPr>
          <w:rFonts w:ascii="Arial" w:cs="Arial" w:eastAsia="Arial" w:hAnsi="Arial"/>
          <w:sz w:val="18"/>
          <w:szCs w:val="18"/>
          <w:color w:val="auto"/>
        </w:rPr>
        <w:t>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INVESTORS WHO ARE </w:t>
      </w:r>
      <w:r>
        <w:rPr>
          <w:rFonts w:ascii="Arial" w:cs="Arial" w:eastAsia="Arial" w:hAnsi="Arial"/>
          <w:sz w:val="18"/>
          <w:szCs w:val="18"/>
          <w:b w:val="1"/>
          <w:bCs w:val="1"/>
          <w:u w:val="single" w:color="auto"/>
          <w:color w:val="auto"/>
        </w:rPr>
        <w:t>ENTITIES</w:t>
      </w:r>
      <w:r>
        <w:rPr>
          <w:rFonts w:ascii="Arial" w:cs="Arial" w:eastAsia="Arial" w:hAnsi="Arial"/>
          <w:sz w:val="18"/>
          <w:szCs w:val="18"/>
          <w:b w:val="1"/>
          <w:bCs w:val="1"/>
          <w:color w:val="auto"/>
        </w:rPr>
        <w:t>: NATURE OF BUSINESS: ____________________________________</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&amp; DOCUMENTATION AND SOURCE OF FUNDS:</w:t>
      </w:r>
    </w:p>
    <w:p>
      <w:pPr>
        <w:spacing w:after="0" w:line="225" w:lineRule="exact"/>
        <w:rPr>
          <w:sz w:val="20"/>
          <w:szCs w:val="20"/>
          <w:color w:val="auto"/>
        </w:rPr>
      </w:pPr>
    </w:p>
    <w:p>
      <w:pPr>
        <w:jc w:val="both"/>
        <w:ind w:left="660" w:hanging="652"/>
        <w:spacing w:after="0" w:line="274"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Please submit a copy of non-expired identification for the authorized signatory(ies) on the investment documents, showing name, date of birth, address and signature. </w:t>
      </w:r>
      <w:r>
        <w:rPr>
          <w:rFonts w:ascii="Arial" w:cs="Arial" w:eastAsia="Arial" w:hAnsi="Arial"/>
          <w:sz w:val="17"/>
          <w:szCs w:val="17"/>
          <w:b w:val="1"/>
          <w:bCs w:val="1"/>
          <w:color w:val="auto"/>
        </w:rPr>
        <w:t>The address shown on the identification document MUST match the Investor’s address shown on the Investor</w:t>
      </w:r>
    </w:p>
    <w:p>
      <w:pPr>
        <w:ind w:left="660"/>
        <w:spacing w:after="0"/>
        <w:rPr>
          <w:rFonts w:ascii="Arial" w:cs="Arial" w:eastAsia="Arial" w:hAnsi="Arial"/>
          <w:sz w:val="17"/>
          <w:szCs w:val="17"/>
          <w:color w:val="auto"/>
        </w:rPr>
      </w:pPr>
      <w:r>
        <w:rPr>
          <w:rFonts w:ascii="Arial" w:cs="Arial" w:eastAsia="Arial" w:hAnsi="Arial"/>
          <w:sz w:val="18"/>
          <w:szCs w:val="18"/>
          <w:b w:val="1"/>
          <w:bCs w:val="1"/>
          <w:color w:val="auto"/>
        </w:rPr>
        <w:t>Signature Page.</w:t>
      </w:r>
    </w:p>
    <w:p>
      <w:pPr>
        <w:sectPr>
          <w:pgSz w:w="11900" w:h="16838" w:orient="portrait"/>
          <w:cols w:equalWidth="0" w:num="1">
            <w:col w:w="11420"/>
          </w:cols>
          <w:pgMar w:left="240" w:top="905" w:right="239" w:bottom="1440" w:gutter="0" w:footer="0" w:header="0"/>
        </w:sect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Current Driver’s License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Valid Passport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Identity Card</w:t>
      </w:r>
    </w:p>
    <w:p>
      <w:pPr>
        <w:spacing w:after="0" w:line="46" w:lineRule="exact"/>
        <w:rPr>
          <w:sz w:val="20"/>
          <w:szCs w:val="20"/>
          <w:color w:val="auto"/>
        </w:rPr>
      </w:pPr>
    </w:p>
    <w:p>
      <w:pPr>
        <w:sectPr>
          <w:pgSz w:w="11900" w:h="16838" w:orient="portrait"/>
          <w:cols w:equalWidth="0" w:num="5">
            <w:col w:w="3700" w:space="720"/>
            <w:col w:w="340" w:space="720"/>
            <w:col w:w="1220" w:space="720"/>
            <w:col w:w="380" w:space="720"/>
            <w:col w:w="2900"/>
          </w:cols>
          <w:pgMar w:left="240" w:top="90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Circle one or more)</w:t>
      </w:r>
    </w:p>
    <w:p>
      <w:pPr>
        <w:sectPr>
          <w:pgSz w:w="11900" w:h="16838" w:orient="portrait"/>
          <w:cols w:equalWidth="0" w:num="1">
            <w:col w:w="11420"/>
          </w:cols>
          <w:pgMar w:left="240" w:top="905" w:right="239" w:bottom="1440" w:gutter="0" w:footer="0" w:header="0"/>
          <w:type w:val="continuous"/>
        </w:sectPr>
      </w:pPr>
    </w:p>
    <w:p>
      <w:pPr>
        <w:spacing w:after="0" w:line="234" w:lineRule="exact"/>
        <w:rPr>
          <w:sz w:val="20"/>
          <w:szCs w:val="20"/>
          <w:color w:val="auto"/>
        </w:rPr>
      </w:pPr>
    </w:p>
    <w:p>
      <w:pPr>
        <w:jc w:val="both"/>
        <w:ind w:left="660" w:hanging="652"/>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Investor is a corporation, limited liability company, trust or other type of entity, please submit the following requisite documents: (i) Articles of Incorporation, By-Laws, Certificate of Formation, Operating Agreement, Trust or other similar documents for the type of entity; and (ii) Corporate Resolution or power of attorney or other similar document granting authority to signatory(ies) and designating that they are permitted to make the proposed investment.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Please advise where the funds were derived from to make the proposed investment: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ind w:left="1140"/>
              <w:spacing w:after="0"/>
              <w:rPr>
                <w:sz w:val="20"/>
                <w:szCs w:val="20"/>
                <w:color w:val="auto"/>
              </w:rPr>
            </w:pPr>
            <w:r>
              <w:rPr>
                <w:rFonts w:ascii="Arial" w:cs="Arial" w:eastAsia="Arial" w:hAnsi="Arial"/>
                <w:sz w:val="18"/>
                <w:szCs w:val="18"/>
                <w:color w:val="auto"/>
                <w:w w:val="94"/>
              </w:rPr>
              <w:t>Investments</w:t>
            </w:r>
          </w:p>
        </w:tc>
        <w:tc>
          <w:tcPr>
            <w:tcW w:w="2360" w:type="dxa"/>
            <w:vAlign w:val="bottom"/>
          </w:tcPr>
          <w:p>
            <w:pPr>
              <w:ind w:left="1280"/>
              <w:spacing w:after="0"/>
              <w:rPr>
                <w:sz w:val="20"/>
                <w:szCs w:val="20"/>
                <w:color w:val="auto"/>
              </w:rPr>
            </w:pPr>
            <w:r>
              <w:rPr>
                <w:rFonts w:ascii="Arial" w:cs="Arial" w:eastAsia="Arial" w:hAnsi="Arial"/>
                <w:sz w:val="18"/>
                <w:szCs w:val="18"/>
                <w:color w:val="auto"/>
              </w:rPr>
              <w:t>Savings</w:t>
            </w:r>
          </w:p>
        </w:tc>
        <w:tc>
          <w:tcPr>
            <w:tcW w:w="2420" w:type="dxa"/>
            <w:vAlign w:val="bottom"/>
          </w:tcPr>
          <w:p>
            <w:pPr>
              <w:ind w:left="1100"/>
              <w:spacing w:after="0"/>
              <w:rPr>
                <w:sz w:val="20"/>
                <w:szCs w:val="20"/>
                <w:color w:val="auto"/>
              </w:rPr>
            </w:pPr>
            <w:r>
              <w:rPr>
                <w:rFonts w:ascii="Arial" w:cs="Arial" w:eastAsia="Arial" w:hAnsi="Arial"/>
                <w:sz w:val="18"/>
                <w:szCs w:val="18"/>
                <w:color w:val="auto"/>
                <w:w w:val="94"/>
              </w:rPr>
              <w:t>Proceeds of Sale</w:t>
            </w:r>
          </w:p>
        </w:tc>
        <w:tc>
          <w:tcPr>
            <w:tcW w:w="4560" w:type="dxa"/>
            <w:vAlign w:val="bottom"/>
          </w:tcPr>
          <w:p>
            <w:pPr>
              <w:ind w:left="860"/>
              <w:spacing w:after="0"/>
              <w:rPr>
                <w:sz w:val="20"/>
                <w:szCs w:val="20"/>
                <w:color w:val="auto"/>
              </w:rPr>
            </w:pPr>
            <w:r>
              <w:rPr>
                <w:rFonts w:ascii="Arial" w:cs="Arial" w:eastAsia="Arial" w:hAnsi="Arial"/>
                <w:sz w:val="18"/>
                <w:szCs w:val="18"/>
                <w:color w:val="auto"/>
              </w:rPr>
              <w:t>Other ____________</w:t>
            </w:r>
          </w:p>
        </w:tc>
      </w:tr>
      <w:tr>
        <w:trPr>
          <w:trHeight w:val="230"/>
        </w:trPr>
        <w:tc>
          <w:tcPr>
            <w:tcW w:w="2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20" w:type="dxa"/>
            <w:vAlign w:val="bottom"/>
          </w:tcPr>
          <w:p>
            <w:pPr>
              <w:ind w:left="540"/>
              <w:spacing w:after="0"/>
              <w:rPr>
                <w:sz w:val="20"/>
                <w:szCs w:val="20"/>
                <w:color w:val="auto"/>
              </w:rPr>
            </w:pPr>
            <w:r>
              <w:rPr>
                <w:rFonts w:ascii="Arial" w:cs="Arial" w:eastAsia="Arial" w:hAnsi="Arial"/>
                <w:sz w:val="18"/>
                <w:szCs w:val="18"/>
                <w:i w:val="1"/>
                <w:iCs w:val="1"/>
                <w:color w:val="auto"/>
              </w:rPr>
              <w:t>(Circle one or more)</w:t>
            </w:r>
          </w:p>
        </w:tc>
        <w:tc>
          <w:tcPr>
            <w:tcW w:w="4560" w:type="dxa"/>
            <w:vAlign w:val="bottom"/>
          </w:tcPr>
          <w:p>
            <w:pPr>
              <w:spacing w:after="0"/>
              <w:rPr>
                <w:sz w:val="20"/>
                <w:szCs w:val="20"/>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Signature:</w:t>
            </w:r>
          </w:p>
        </w:tc>
        <w:tc>
          <w:tcPr>
            <w:tcW w:w="2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Print Name:</w:t>
            </w:r>
          </w:p>
        </w:tc>
        <w:tc>
          <w:tcPr>
            <w:tcW w:w="2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Title (if applicable):</w:t>
            </w:r>
          </w:p>
        </w:tc>
        <w:tc>
          <w:tcPr>
            <w:tcW w:w="2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426"/>
        </w:trPr>
        <w:tc>
          <w:tcPr>
            <w:tcW w:w="2080" w:type="dxa"/>
            <w:vAlign w:val="bottom"/>
          </w:tcPr>
          <w:p>
            <w:pPr>
              <w:spacing w:after="0"/>
              <w:rPr>
                <w:sz w:val="20"/>
                <w:szCs w:val="20"/>
                <w:color w:val="auto"/>
              </w:rPr>
            </w:pPr>
            <w:r>
              <w:rPr>
                <w:rFonts w:ascii="Arial" w:cs="Arial" w:eastAsia="Arial" w:hAnsi="Arial"/>
                <w:sz w:val="18"/>
                <w:szCs w:val="18"/>
                <w:color w:val="auto"/>
              </w:rPr>
              <w:t>Date:</w:t>
            </w:r>
          </w:p>
        </w:tc>
        <w:tc>
          <w:tcPr>
            <w:tcW w:w="2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669"/>
        </w:trPr>
        <w:tc>
          <w:tcPr>
            <w:tcW w:w="208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2017</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facilitate the consideration and negotiation of a possible transaction (the “</w:t>
      </w:r>
      <w:r>
        <w:rPr>
          <w:rFonts w:ascii="Arial" w:cs="Arial" w:eastAsia="Arial" w:hAnsi="Arial"/>
          <w:sz w:val="17"/>
          <w:szCs w:val="17"/>
          <w:u w:val="single" w:color="auto"/>
          <w:color w:val="auto"/>
        </w:rPr>
        <w:t>Transaction</w:t>
      </w:r>
      <w:r>
        <w:rPr>
          <w:rFonts w:ascii="Arial" w:cs="Arial" w:eastAsia="Arial" w:hAnsi="Arial"/>
          <w:sz w:val="17"/>
          <w:szCs w:val="17"/>
          <w:color w:val="auto"/>
        </w:rPr>
        <w:t>”) between TapImmune,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undersigned potential investor (“</w:t>
      </w:r>
      <w:r>
        <w:rPr>
          <w:rFonts w:ascii="Arial" w:cs="Arial" w:eastAsia="Arial" w:hAnsi="Arial"/>
          <w:sz w:val="17"/>
          <w:szCs w:val="17"/>
          <w:u w:val="single" w:color="auto"/>
          <w:color w:val="auto"/>
        </w:rPr>
        <w:t>Investor</w:t>
      </w:r>
      <w:r>
        <w:rPr>
          <w:rFonts w:ascii="Arial" w:cs="Arial" w:eastAsia="Arial" w:hAnsi="Arial"/>
          <w:sz w:val="17"/>
          <w:szCs w:val="17"/>
          <w:color w:val="auto"/>
        </w:rPr>
        <w:t>”), the Company is furnishing non-public information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to Investor. Investor agrees to use the Confidential Information solely for the purpose of evaluating the Transaction. Investor shall keep the Confidential Information confidential and shall not disclose any of the Confidential Information to any third person, except to the extent that disclosure of the Confidential Information is made to Investor’s legal counsel and/or advisor(s) who need to know such information for the sole purpose of assisting Investor in evaluating the Transaction. Investor hereby agrees to be responsible for any violations hereof by Investor’s legal counsel and/or advisor(s).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permitted hereunder, Investor shall not disclose to any person (a) that the Confidential Information has been made available to Investor, (b) that discussions or negotiations are taking place concerning the Transaction, (c) any terms, conditions or other facts with respect to the Transaction, including the status thereof, or (d) the existence of this confidentiality agreement or its terms.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 hereby acknowledges that it is aware that the federal and state securities laws prohibit any person who has material, non-public information about a company from purchasing or selling securities of such a company or from communicating such information to any other person under circumstances in which it is reasonably foreseeable that such person is likely to purchase or sell such securities. Nothing herein shall preclude disclosure of the Confidential Information or trading thereon after public disclosure of the Confidential Information is made by the Company. This Agreement is effective as of the date this Agreement is executed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the confidentiality obligations and other restrictions contained herein shall apply to the Confidential Information until the six (6) month anniversary of the Effective Date.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Confidential Information disclosed shall be and shall remain the property of the Company, and this agreement shall not be construed as a license or any other grant of any right whatsoever in connection with the Confidential Information. Promptly after being so requested by the Company, Investor shall return or destroy (and certify such destruction in writing) all Confidential Information.</w:t>
      </w:r>
    </w:p>
    <w:p>
      <w:pPr>
        <w:sectPr>
          <w:pgSz w:w="11900" w:h="16838" w:orient="portrait"/>
          <w:cols w:equalWidth="0" w:num="1">
            <w:col w:w="11420"/>
          </w:cols>
          <w:pgMar w:left="240" w:top="90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Accepted and agreed to as of the date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Investor (individual)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Additional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670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(if Joint Tenants or Tenants in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21780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Investor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2588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588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27527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2588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581025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560" w:space="720"/>
            <w:col w:w="5140"/>
          </w:cols>
          <w:pgMar w:left="240" w:top="905" w:right="2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Investor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61" w:name="page62"/>
    <w:bookmarkEnd w:id="61"/>
    <w:p>
      <w:pPr>
        <w:ind w:left="10300"/>
        <w:spacing w:after="0"/>
        <w:rPr>
          <w:sz w:val="20"/>
          <w:szCs w:val="20"/>
          <w:color w:val="auto"/>
        </w:rPr>
      </w:pPr>
      <w:r>
        <w:rPr>
          <w:rFonts w:ascii="Arial" w:cs="Arial" w:eastAsia="Arial" w:hAnsi="Arial"/>
          <w:sz w:val="19"/>
          <w:szCs w:val="19"/>
          <w:b w:val="1"/>
          <w:bCs w:val="1"/>
          <w:color w:val="auto"/>
        </w:rPr>
        <w:t>Exhibit 10.2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made and entered into effective as of </w:t>
      </w:r>
      <w:r>
        <w:rPr>
          <w:rFonts w:ascii="Arial" w:cs="Arial" w:eastAsia="Arial" w:hAnsi="Arial"/>
          <w:sz w:val="16"/>
          <w:szCs w:val="16"/>
          <w:color w:val="auto"/>
          <w:highlight w:val="yellow"/>
        </w:rPr>
        <w:t>[_________________]</w:t>
      </w:r>
      <w:r>
        <w:rPr>
          <w:rFonts w:ascii="Arial" w:cs="Arial" w:eastAsia="Arial" w:hAnsi="Arial"/>
          <w:sz w:val="16"/>
          <w:szCs w:val="16"/>
          <w:color w:val="auto"/>
        </w:rPr>
        <w:t>, 2017 (the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between TapImmune Inc.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persons who have executed the omnibus or counterpart signature page(s) hereto (each, a “</w:t>
      </w:r>
      <w:r>
        <w:rPr>
          <w:rFonts w:ascii="Arial" w:cs="Arial" w:eastAsia="Arial" w:hAnsi="Arial"/>
          <w:sz w:val="18"/>
          <w:szCs w:val="18"/>
          <w:b w:val="1"/>
          <w:bCs w:val="1"/>
          <w:color w:val="auto"/>
        </w:rPr>
        <w:t>Purchaser</w:t>
      </w:r>
      <w:r>
        <w:rPr>
          <w:rFonts w:ascii="Arial" w:cs="Arial" w:eastAsia="Arial" w:hAnsi="Arial"/>
          <w:sz w:val="18"/>
          <w:szCs w:val="18"/>
          <w:color w:val="auto"/>
        </w:rPr>
        <w:t>” and collectively, the “</w:t>
      </w:r>
      <w:r>
        <w:rPr>
          <w:rFonts w:ascii="Arial" w:cs="Arial" w:eastAsia="Arial" w:hAnsi="Arial"/>
          <w:sz w:val="18"/>
          <w:szCs w:val="18"/>
          <w:b w:val="1"/>
          <w:bCs w:val="1"/>
          <w:color w:val="auto"/>
        </w:rPr>
        <w:t>Purchasers</w:t>
      </w:r>
      <w:r>
        <w:rPr>
          <w:rFonts w:ascii="Arial" w:cs="Arial" w:eastAsia="Arial" w:hAnsi="Arial"/>
          <w:sz w:val="18"/>
          <w:szCs w:val="18"/>
          <w:color w:val="auto"/>
        </w:rPr>
        <w:t>”), and the persons or entities identified in Schedule 1 hereto holding Placement Agent Warrants (as defined below) (collectively the “</w:t>
      </w:r>
      <w:r>
        <w:rPr>
          <w:rFonts w:ascii="Arial" w:cs="Arial" w:eastAsia="Arial" w:hAnsi="Arial"/>
          <w:sz w:val="18"/>
          <w:szCs w:val="18"/>
          <w:b w:val="1"/>
          <w:bCs w:val="1"/>
          <w:color w:val="auto"/>
        </w:rPr>
        <w:t>Brokers</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has offered and sold in compliance with Rule 506 of Regulation D promulgated under the Securities Act (as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to accredited investors in a private placement offering (the “</w:t>
      </w:r>
      <w:r>
        <w:rPr>
          <w:rFonts w:ascii="Arial" w:cs="Arial" w:eastAsia="Arial" w:hAnsi="Arial"/>
          <w:sz w:val="17"/>
          <w:szCs w:val="17"/>
          <w:b w:val="1"/>
          <w:bCs w:val="1"/>
          <w:color w:val="auto"/>
        </w:rPr>
        <w:t>Offering</w:t>
      </w:r>
      <w:r>
        <w:rPr>
          <w:rFonts w:ascii="Arial" w:cs="Arial" w:eastAsia="Arial" w:hAnsi="Arial"/>
          <w:sz w:val="17"/>
          <w:szCs w:val="17"/>
          <w:color w:val="auto"/>
        </w:rPr>
        <w:t>”) Units (“</w:t>
      </w:r>
      <w:r>
        <w:rPr>
          <w:rFonts w:ascii="Arial" w:cs="Arial" w:eastAsia="Arial" w:hAnsi="Arial"/>
          <w:sz w:val="17"/>
          <w:szCs w:val="17"/>
          <w:b w:val="1"/>
          <w:bCs w:val="1"/>
          <w:color w:val="auto"/>
        </w:rPr>
        <w:t>Unit</w:t>
      </w:r>
      <w:r>
        <w:rPr>
          <w:rFonts w:ascii="Arial" w:cs="Arial" w:eastAsia="Arial" w:hAnsi="Arial"/>
          <w:sz w:val="17"/>
          <w:szCs w:val="17"/>
          <w:color w:val="auto"/>
        </w:rPr>
        <w:t>”), each Unit consisting of (i) one share of the Company’s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par value $0.001 per share (each, a “</w:t>
      </w:r>
      <w:r>
        <w:rPr>
          <w:rFonts w:ascii="Arial" w:cs="Arial" w:eastAsia="Arial" w:hAnsi="Arial"/>
          <w:sz w:val="17"/>
          <w:szCs w:val="17"/>
          <w:b w:val="1"/>
          <w:bCs w:val="1"/>
          <w:color w:val="auto"/>
        </w:rPr>
        <w:t>Share</w:t>
      </w:r>
      <w:r>
        <w:rPr>
          <w:rFonts w:ascii="Arial" w:cs="Arial" w:eastAsia="Arial" w:hAnsi="Arial"/>
          <w:sz w:val="17"/>
          <w:szCs w:val="17"/>
          <w:color w:val="auto"/>
        </w:rPr>
        <w:t>”) and (ii) one warrant to purchase one share of Common Stock (each a “</w:t>
      </w:r>
      <w:r>
        <w:rPr>
          <w:rFonts w:ascii="Arial" w:cs="Arial" w:eastAsia="Arial" w:hAnsi="Arial"/>
          <w:sz w:val="17"/>
          <w:szCs w:val="17"/>
          <w:b w:val="1"/>
          <w:bCs w:val="1"/>
          <w:color w:val="auto"/>
        </w:rPr>
        <w:t>Warrant</w:t>
      </w:r>
      <w:r>
        <w:rPr>
          <w:rFonts w:ascii="Arial" w:cs="Arial" w:eastAsia="Arial" w:hAnsi="Arial"/>
          <w:sz w:val="17"/>
          <w:szCs w:val="17"/>
          <w:color w:val="auto"/>
        </w:rPr>
        <w:t>”), pursuant to that certain Subscription Agreement entered into by and between the Company and each of the subscribers for the Units set forth on the signature pages affixed thereto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as well as a warrant (the “</w:t>
      </w:r>
      <w:r>
        <w:rPr>
          <w:rFonts w:ascii="Arial" w:cs="Arial" w:eastAsia="Arial" w:hAnsi="Arial"/>
          <w:sz w:val="17"/>
          <w:szCs w:val="17"/>
          <w:b w:val="1"/>
          <w:bCs w:val="1"/>
          <w:color w:val="auto"/>
        </w:rPr>
        <w:t>Placement Agent Warrant</w:t>
      </w:r>
      <w:r>
        <w:rPr>
          <w:rFonts w:ascii="Arial" w:cs="Arial" w:eastAsia="Arial" w:hAnsi="Arial"/>
          <w:sz w:val="17"/>
          <w:szCs w:val="17"/>
          <w:color w:val="auto"/>
        </w:rPr>
        <w:t>”) to purchase shares of Common Stock (the “</w:t>
      </w:r>
      <w:r>
        <w:rPr>
          <w:rFonts w:ascii="Arial" w:cs="Arial" w:eastAsia="Arial" w:hAnsi="Arial"/>
          <w:sz w:val="17"/>
          <w:szCs w:val="17"/>
          <w:b w:val="1"/>
          <w:bCs w:val="1"/>
          <w:color w:val="auto"/>
        </w:rPr>
        <w:t>Placement Agent Shares</w:t>
      </w:r>
      <w:r>
        <w:rPr>
          <w:rFonts w:ascii="Arial" w:cs="Arial" w:eastAsia="Arial" w:hAnsi="Arial"/>
          <w:sz w:val="17"/>
          <w:szCs w:val="17"/>
          <w:color w:val="auto"/>
        </w:rPr>
        <w:t>”) issued to the placement agent (the “</w:t>
      </w:r>
      <w:r>
        <w:rPr>
          <w:rFonts w:ascii="Arial" w:cs="Arial" w:eastAsia="Arial" w:hAnsi="Arial"/>
          <w:sz w:val="17"/>
          <w:szCs w:val="17"/>
          <w:b w:val="1"/>
          <w:bCs w:val="1"/>
          <w:color w:val="auto"/>
        </w:rPr>
        <w:t>Placement Agent</w:t>
      </w:r>
      <w:r>
        <w:rPr>
          <w:rFonts w:ascii="Arial" w:cs="Arial" w:eastAsia="Arial" w:hAnsi="Arial"/>
          <w:sz w:val="17"/>
          <w:szCs w:val="17"/>
          <w:color w:val="auto"/>
        </w:rPr>
        <w:t>”) in the Offering;</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agreed to enter into a registration rights agreement with each of the Purchasers in the Offering who purchased the Units and with the Brokers who hold Placement Agent Warrants;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mutual promises, representations, warranties, covenants, and conditions set forth herein, the parties mutually agree as follows:</w:t>
      </w:r>
    </w:p>
    <w:p>
      <w:pPr>
        <w:spacing w:after="0" w:line="170" w:lineRule="exact"/>
        <w:rPr>
          <w:sz w:val="20"/>
          <w:szCs w:val="20"/>
          <w:color w:val="auto"/>
        </w:rPr>
      </w:pPr>
    </w:p>
    <w:p>
      <w:pPr>
        <w:ind w:left="660" w:right="1920" w:hanging="4"/>
        <w:spacing w:after="0" w:line="501" w:lineRule="auto"/>
        <w:tabs>
          <w:tab w:leader="none" w:pos="129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respective meanings: “</w:t>
      </w:r>
      <w:r>
        <w:rPr>
          <w:rFonts w:ascii="Arial" w:cs="Arial" w:eastAsia="Arial" w:hAnsi="Arial"/>
          <w:sz w:val="18"/>
          <w:szCs w:val="18"/>
          <w:u w:val="single" w:color="auto"/>
          <w:color w:val="auto"/>
        </w:rPr>
        <w:t>Allowed Delay</w:t>
      </w:r>
      <w:r>
        <w:rPr>
          <w:rFonts w:ascii="Arial" w:cs="Arial" w:eastAsia="Arial" w:hAnsi="Arial"/>
          <w:sz w:val="18"/>
          <w:szCs w:val="18"/>
          <w:color w:val="auto"/>
        </w:rPr>
        <w:t>” has the meaning set forth in Section 3(e)(2).</w:t>
      </w: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Market</w:t>
      </w:r>
      <w:r>
        <w:rPr>
          <w:rFonts w:ascii="Arial" w:cs="Arial" w:eastAsia="Arial" w:hAnsi="Arial"/>
          <w:sz w:val="18"/>
          <w:szCs w:val="18"/>
          <w:color w:val="auto"/>
        </w:rPr>
        <w:t>” means the Over-the-Counter Bulletin Board, the OTC Markets, the Pink Sheets, the Nasdaq Stock Market, the New York Stock Exchange or the NYSE MKT.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Blackout Period</w:t>
      </w:r>
      <w:r>
        <w:rPr>
          <w:rFonts w:ascii="Arial" w:cs="Arial" w:eastAsia="Arial" w:hAnsi="Arial"/>
          <w:sz w:val="17"/>
          <w:szCs w:val="17"/>
          <w:color w:val="auto"/>
        </w:rPr>
        <w:t>” means, with respect to a registration, a period, in each case commencing on the day immediately after the Company notifies the Purchasers that they are required, because of the occurrence of an event of the kind described in Section 4(f) hereof, to suspend offers and sales of Registrable Securities during which the Company, in the good faith judgment of its board of directors, determines (because of the existence of, or in anticipation of, any acquisition, financing activity, or other transaction involving the Company, or the unavailability for reasons beyond the Company’s control of any required financial statements, disclosure of information which is in its best interest not to publicly disclose, or any other event or condition of similar significance to the Company) that the registration and distribution of the Registrable Securities to be covered by such Registration Statement, if any, would be seriously detrimental to the Company and its stockholders and ending on the earlier of (1) the date upon which the material non-public information commencing the Blackout Period is disclosed to the public or ceases to be material and (2) such time as the Company notifies the selling Holders that the Company will no longer delay such filing of the Registration Statement, recommence taking steps to make such Registration Statement effective, or allow sales pursuant to such Registration Statement to resume.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of the year, other than a Saturday, Sunday, or other day on which the Commission is required or authorized to close.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means the U. S. Securities and Exchange Commission or any other federal agency at the time administering the Securities Act.</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par value $0.001 per share, of the Company and any and all shares of capital stock or other equity securities of: (i) the Company which are added to or exchanged or substituted for the Common Stock by reason of the declaration of any stock dividend or stock split, the issuance of any distribution or the reclassification, readjustment, recapitalization or other such modification of the capital structure of the Company; and (ii) any other corporation, now or hereafter organized under the laws of any state or other governmental authority, with which the Company is merged, which results from any consolidation or reorganization to which the Company is a party, or to which is sold all or substantially all of the shares or assets of the Company, if immediately after such merger, consolidation, reorganization or sale, the Company or the stockholders of the Company own equity securities having in the aggregate more than 50% of the total voting power of such other corporation.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it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(a) with respect to any individual, such individual’s spouse, any descendants (whether natural or adopted), any trust all of the beneficial interests of which are owned by any of such individuals or by any of such individuals together with any organization described in Section 501(c)(3) of the Internal Revenue Code of 1986, as amended, the estate of any such individual, and any corporation, association, partnership or limited liability company all of the equity interests of which are owned by those above described individuals, trusts or organizations and (b) with respect to any trust, the owners of the beneficial interests of such trust.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Holder</w:t>
      </w:r>
      <w:r>
        <w:rPr>
          <w:rFonts w:ascii="Arial" w:cs="Arial" w:eastAsia="Arial" w:hAnsi="Arial"/>
          <w:sz w:val="17"/>
          <w:szCs w:val="17"/>
          <w:color w:val="auto"/>
        </w:rPr>
        <w:t>” means each Purchaser or any of such Purchaser’s respective successors and Permitted Assignees who acquire rights in accordance with this Agreement with respect to any Registrable Securities directly or indirectly from a Purchaser or from any Permitted Assignee.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Registration Statement</w:t>
      </w:r>
      <w:r>
        <w:rPr>
          <w:rFonts w:ascii="Arial" w:cs="Arial" w:eastAsia="Arial" w:hAnsi="Arial"/>
          <w:sz w:val="18"/>
          <w:szCs w:val="18"/>
          <w:color w:val="auto"/>
        </w:rPr>
        <w:t>” means the initial Registration Statement filed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Holders</w:t>
      </w:r>
      <w:r>
        <w:rPr>
          <w:rFonts w:ascii="Arial" w:cs="Arial" w:eastAsia="Arial" w:hAnsi="Arial"/>
          <w:sz w:val="18"/>
          <w:szCs w:val="18"/>
          <w:color w:val="auto"/>
        </w:rPr>
        <w:t>” means at any time Holders representing a majority of the Registrable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 with respect to a partnership, its partners or former partners, (b) with respect to a corporation, its stockholders, (c) with respect to a limited liability company, its members or former members, (d) with respect to an individual party, any Family Member of such party, (e) an entity that is controlled by, controls, or is under common control with a transferor, or (f) a party to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means, in any registration of Common Stock as set forth in Section 3(b), the ability of holders of Registrable Securities to include Registrable Securities in such registration.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 Warrant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terms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the Shares and the Registrable Warrant Shares but excluding, subject to Section 3(e), (i) any Registrable Securities that have been publicly sold or may be sold immediately without registration under the Securities Act either pursuant to Rule 144 of the Securities Act or otherwise, without any limitations or restrictions; (ii) any Registrable Securities sold by a person in a transaction pursuant to a registration statement filed under the Securities Act, or (iii) any Registrable Securities that are at the time subject to an effective registration statement under the Securities Act.</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Warrant Shares</w:t>
      </w:r>
      <w:r>
        <w:rPr>
          <w:rFonts w:ascii="Arial" w:cs="Arial" w:eastAsia="Arial" w:hAnsi="Arial"/>
          <w:sz w:val="18"/>
          <w:szCs w:val="18"/>
          <w:color w:val="auto"/>
        </w:rPr>
        <w:t>” means (i) the shares of Common Stock issuable upon the exercise of the Warrants, and (ii) the shares of Common issuable upon the exercise of the Placement Agent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Default Date</w:t>
      </w:r>
      <w:r>
        <w:rPr>
          <w:rFonts w:ascii="Arial" w:cs="Arial" w:eastAsia="Arial" w:hAnsi="Arial"/>
          <w:sz w:val="17"/>
          <w:szCs w:val="17"/>
          <w:color w:val="auto"/>
        </w:rPr>
        <w:t>” means the date that is 90 days after the date the Registration Statement is actually filed with the Commission.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Event</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left="1960" w:hanging="655"/>
        <w:spacing w:after="0"/>
        <w:tabs>
          <w:tab w:leader="none" w:pos="1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fails to file with the Commission the Registration Statement on or before the Registration Filing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Registration Statement is not declared effective by the Commission on or before the Registration Effectiveness Date;</w:t>
      </w:r>
    </w:p>
    <w:p>
      <w:pPr>
        <w:spacing w:after="0" w:line="236" w:lineRule="exact"/>
        <w:rPr>
          <w:rFonts w:ascii="Arial" w:cs="Arial" w:eastAsia="Arial" w:hAnsi="Arial"/>
          <w:sz w:val="17"/>
          <w:szCs w:val="17"/>
          <w:color w:val="auto"/>
        </w:rPr>
      </w:pPr>
    </w:p>
    <w:p>
      <w:pPr>
        <w:jc w:val="both"/>
        <w:ind w:firstLine="1305"/>
        <w:spacing w:after="0" w:line="291" w:lineRule="auto"/>
        <w:tabs>
          <w:tab w:leader="none" w:pos="1973" w:val="left"/>
        </w:tabs>
        <w:numPr>
          <w:ilvl w:val="1"/>
          <w:numId w:val="62"/>
        </w:numPr>
        <w:rPr>
          <w:rFonts w:ascii="Arial" w:cs="Arial" w:eastAsia="Arial" w:hAnsi="Arial"/>
          <w:sz w:val="16"/>
          <w:szCs w:val="16"/>
          <w:color w:val="auto"/>
        </w:rPr>
      </w:pPr>
      <w:r>
        <w:rPr>
          <w:rFonts w:ascii="Arial" w:cs="Arial" w:eastAsia="Arial" w:hAnsi="Arial"/>
          <w:sz w:val="16"/>
          <w:szCs w:val="16"/>
          <w:color w:val="auto"/>
        </w:rPr>
        <w:t>after the SEC Effective Date, the Registration Statement ceases for any reason to remain continuously effective or the Holders are otherwise not permitted to utilize the prospectus therein to resell the Registrable Securities (including a Blackout Period) for a period of more than twenty</w:t>
      </w: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consecutive Trading Days;</w:t>
      </w:r>
    </w:p>
    <w:p>
      <w:pPr>
        <w:spacing w:after="0" w:line="210" w:lineRule="exact"/>
        <w:rPr>
          <w:rFonts w:ascii="Arial" w:cs="Arial" w:eastAsia="Arial" w:hAnsi="Arial"/>
          <w:sz w:val="18"/>
          <w:szCs w:val="18"/>
          <w:color w:val="auto"/>
        </w:rPr>
      </w:pPr>
    </w:p>
    <w:p>
      <w:pPr>
        <w:jc w:val="both"/>
        <w:ind w:firstLine="1305"/>
        <w:spacing w:after="0" w:line="264" w:lineRule="auto"/>
        <w:tabs>
          <w:tab w:leader="none" w:pos="20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Registrable Securities, if issued, are not listed or included for quotation on an Approved Market, or trading of the Common Stock is suspended or halted on the Approved Market, which at the time constitutes the principal market for the Common Stock, for more than three (3) consecutive Trading Days;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firstLine="1305"/>
        <w:spacing w:after="0" w:line="277" w:lineRule="auto"/>
        <w:tabs>
          <w:tab w:leader="none" w:pos="197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does not comply with the information requirements of Rule 144, so long as such non-compliance prevents the resale of the Registrable Securities pursuant to such rule.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Filing Date</w:t>
      </w:r>
      <w:r>
        <w:rPr>
          <w:rFonts w:ascii="Arial" w:cs="Arial" w:eastAsia="Arial" w:hAnsi="Arial"/>
          <w:sz w:val="18"/>
          <w:szCs w:val="18"/>
          <w:color w:val="auto"/>
        </w:rPr>
        <w:t>” means the date that is 90 days after date of the closing of the Offering.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registration statement that the Company is required to file pursuant to this Agreement to register the Registrable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145</w:t>
      </w:r>
      <w:r>
        <w:rPr>
          <w:rFonts w:ascii="Arial" w:cs="Arial" w:eastAsia="Arial" w:hAnsi="Arial"/>
          <w:sz w:val="18"/>
          <w:szCs w:val="18"/>
          <w:color w:val="auto"/>
        </w:rPr>
        <w:t>” means Rule 145 promulgated by the Commission under the Securities Act.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from time to time, or any similar rule or regulation hereafter adopted by the SEC having substantially the same purpose and effect as such Rule.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similar federal statute promulgated in replacement thereof, and the rules and regulations of the Commission thereunder, all as the same shall be in effect at the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Effective Date</w:t>
      </w:r>
      <w:r>
        <w:rPr>
          <w:rFonts w:ascii="Arial" w:cs="Arial" w:eastAsia="Arial" w:hAnsi="Arial"/>
          <w:sz w:val="18"/>
          <w:szCs w:val="18"/>
          <w:color w:val="auto"/>
        </w:rPr>
        <w:t>” means the date the Registration Statement is declared effective by the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if the Common Stock is listed or quoted on an Approved Market, then any day during which securities are generally eligible for trading on the Approved Market, or (b) if the Common Stock is not then listed or quoted and traded on an Approved Market, then any business day.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has the meaning given it in the recitals of this Agreement.</w:t>
      </w:r>
    </w:p>
    <w:p>
      <w:pPr>
        <w:spacing w:after="0" w:line="225" w:lineRule="exact"/>
        <w:rPr>
          <w:sz w:val="20"/>
          <w:szCs w:val="20"/>
          <w:color w:val="auto"/>
        </w:rPr>
      </w:pPr>
    </w:p>
    <w:p>
      <w:pPr>
        <w:ind w:left="1320" w:hanging="664"/>
        <w:spacing w:after="0"/>
        <w:tabs>
          <w:tab w:leader="none" w:pos="132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continue in full force and effect until the one (1) year anniversary of the SEC Effective Date, unless terminated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sooner hereunder.</w:t>
      </w:r>
    </w:p>
    <w:p>
      <w:pPr>
        <w:spacing w:after="0" w:line="210" w:lineRule="exact"/>
        <w:rPr>
          <w:rFonts w:ascii="Arial" w:cs="Arial" w:eastAsia="Arial" w:hAnsi="Arial"/>
          <w:sz w:val="16"/>
          <w:szCs w:val="16"/>
          <w:color w:val="auto"/>
        </w:rPr>
      </w:pPr>
    </w:p>
    <w:p>
      <w:pPr>
        <w:ind w:left="1280" w:hanging="624"/>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987"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Registration on Form S-3</w:t>
      </w:r>
      <w:r>
        <w:rPr>
          <w:rFonts w:ascii="Arial" w:cs="Arial" w:eastAsia="Arial" w:hAnsi="Arial"/>
          <w:sz w:val="18"/>
          <w:szCs w:val="18"/>
          <w:color w:val="auto"/>
        </w:rPr>
        <w:t>. Not later than the Registration Filing Date, the Company shall file with the Commission a Registration Statement on Form S-3, or other applicable form, relating to the resale by the Holders of the Registrable Securities. The Company shall register for resale all of the Registrable Securities requested to be registered therein by the Holders of the Registrable Securities, which request shall be made by delivery to the Company with such Holder’s Subscription Agreement for the Units of a completed and duly executed Selling Securityholder Notice and Questionnaire in the form attached hereto as Annex A. The Company shall use its commercially reasonably efforts to cause such Registration Statement to be declared effective prior to the Registration Default Date.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jc w:val="both"/>
        <w:ind w:left="-20" w:firstLine="1305"/>
        <w:spacing w:after="0" w:line="269" w:lineRule="auto"/>
        <w:tabs>
          <w:tab w:leader="none" w:pos="1977"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Piggyback Registration</w:t>
      </w:r>
      <w:r>
        <w:rPr>
          <w:rFonts w:ascii="Arial" w:cs="Arial" w:eastAsia="Arial" w:hAnsi="Arial"/>
          <w:sz w:val="17"/>
          <w:szCs w:val="17"/>
          <w:color w:val="auto"/>
        </w:rPr>
        <w:t>. In addition to the Company agreement pursuant to Section 3(a) above, if the Company shall determine to register for sale for cash any of its Common Stock, for its own account or for the account of others (other than the Holders), other than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relating solely to a Securities Act Rule 145 transaction or a registration on Form S-4 in connection with a merger, acquisition, divestiture, reorganization or similar event, the Company shall promptly give to the Holders written notice thereof (and in no event shall such notice be given less than 20 calendar days prior to the filing of such registration statement), and shall, subject to Section 3(c), include as a Piggyback Registration all of the Registrable Securities specified in a written request delivered by the Holder thereof within 10 calendar days after receipt of such written notice from the Company together with a completed and duly executed Selling Securityholder Notice and Questionnaire in the form attached hereto as Annex A. However, the Company may, without the consent of the Holders, withdraw such registration statement prior to its becoming effective if the Company or such other stockholders have elected to abandon the proposal to register the securities proposed to be registered thereby.</w:t>
      </w:r>
    </w:p>
    <w:p>
      <w:pPr>
        <w:spacing w:after="0" w:line="182" w:lineRule="exact"/>
        <w:rPr>
          <w:rFonts w:ascii="Arial" w:cs="Arial" w:eastAsia="Arial" w:hAnsi="Arial"/>
          <w:sz w:val="17"/>
          <w:szCs w:val="17"/>
          <w:color w:val="auto"/>
        </w:rPr>
      </w:pPr>
    </w:p>
    <w:p>
      <w:pPr>
        <w:jc w:val="both"/>
        <w:ind w:left="-20" w:firstLine="1305"/>
        <w:spacing w:after="0" w:line="269" w:lineRule="auto"/>
        <w:tabs>
          <w:tab w:leader="none" w:pos="199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If a Piggyback Registration is for a registered public offering that is to be made by an underwriting, the Company shall so advise the Holders of the Registrable Securities eligible for inclusion in such Registration Statement pursuant to Section 3(b). In that event, the right of any Holder to Piggyback Registration shall be conditioned upon such Holder’s participation in such underwriting and the inclusion of such Holder’s Registrable Securities in the underwriting to the extent provided herein. All Holders proposing to sell any of their Registrable Securities through such underwriting shall (together with the Company and any other stockholders of the Company selling their securities through such underwriting) enter into an underwriting agreement in customary form with the underwriter selected for such underwriting by the Company or the selling stockholders, as applicable. Notwithstanding any other provision of this Section, if the underwriter or the Company determines that marketing factors require a limitation on the number of shares of Common Stock or the amount of other securities to be underwritten, the underwriter may exclude some or all Registrable Securities from such registration and underwriting. The Company shall so advise all Holders (except those Holders who failed to timely elect to include their Registrable Securities through such underwriting or have indicated to the Company their decision not to do so), and indicate to each such Holder the number of shares of Registrable Securities that may be included in the registration and underwriting, if any. The number of shares of Registrable Securities to be included in such registration and underwriting shall be allocated among such Holders as follows:</w:t>
      </w:r>
    </w:p>
    <w:p>
      <w:pPr>
        <w:spacing w:after="0" w:line="179" w:lineRule="exact"/>
        <w:rPr>
          <w:rFonts w:ascii="Arial" w:cs="Arial" w:eastAsia="Arial" w:hAnsi="Arial"/>
          <w:sz w:val="17"/>
          <w:szCs w:val="17"/>
          <w:color w:val="auto"/>
        </w:rPr>
      </w:pPr>
    </w:p>
    <w:p>
      <w:pPr>
        <w:jc w:val="both"/>
        <w:ind w:left="640" w:firstLine="1293"/>
        <w:spacing w:after="0" w:line="259" w:lineRule="auto"/>
        <w:tabs>
          <w:tab w:leader="none" w:pos="25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the Piggyback Registration was initiated by the Company, the number of shares that may be included in the registration and underwriting shall be allocated first to the Company and then, subject to obligations and commitments existing as of the date hereof, to all selling stockholders, including the Holders, who have requested to sell in the registration on a pro rata basis according to the number of shares requested to be included therein;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6" w:name="page67"/>
    <w:bookmarkEnd w:id="66"/>
    <w:p>
      <w:pPr>
        <w:jc w:val="both"/>
        <w:ind w:left="660" w:firstLine="1293"/>
        <w:spacing w:after="0" w:line="257" w:lineRule="auto"/>
        <w:tabs>
          <w:tab w:leader="none" w:pos="26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Piggyback Registration was initiated by the exercise of demand registration rights by a stockholder or stockholders of the Company (other than the Holders), then the number of shares that may be included in the registration and underwriting shall be allocated first to such selling stockholders who exercised such demand and then, subject to obligations and commitments existing as of the date hereof, to all other selling stockholders, including the Holders, who have requested to sell in the registration on a pro rata basis according to the number of shares requested to be included therein.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No Registrable Securities excluded from the underwriting by reason of the underwriter’s marketing limitation shall be included in such registration and no liquidated damages as set forth in Section 3(d) shall accrue with respect to such excluded securities. If any Holder disapproves of the terms of any such underwriting, such Holder may elect to withdraw such Holder’s Registrable Securities therefrom by delivering a written notice to the Company and the underwriter. The Registrable Securities so withdrawn from such underwriting shall also be withdrawn from such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by the withdrawal of such Registrable Securities, a greater number of Registrable Securities held by other Holders may be included in such registration (up to the maximum of any limitation imposed by the underwriters), then the Company shall offer to all Holders who have included Registrable Securities in the registration the right to include additional Registrable Securities pursuant to the terms and limitations set forth herein in the same proportion used above in determining the underwriter limitation.</w:t>
      </w:r>
    </w:p>
    <w:p>
      <w:pPr>
        <w:spacing w:after="0" w:line="192" w:lineRule="exact"/>
        <w:rPr>
          <w:sz w:val="20"/>
          <w:szCs w:val="20"/>
          <w:color w:val="auto"/>
        </w:rPr>
      </w:pPr>
    </w:p>
    <w:p>
      <w:pPr>
        <w:jc w:val="both"/>
        <w:ind w:firstLine="1305"/>
        <w:spacing w:after="0" w:line="285" w:lineRule="auto"/>
        <w:tabs>
          <w:tab w:leader="none" w:pos="218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Liquidated Damages</w:t>
      </w:r>
      <w:r>
        <w:rPr>
          <w:rFonts w:ascii="Arial" w:cs="Arial" w:eastAsia="Arial" w:hAnsi="Arial"/>
          <w:sz w:val="16"/>
          <w:szCs w:val="16"/>
          <w:color w:val="auto"/>
        </w:rPr>
        <w:t>. If a Registration Event occurs, then the Company will make payments to each Holder of Registrable Securities that has requested to have Registrable Securities included in the Registration Statement, as liquidated damages to such Holder by reason of the Registration Event, a cash sum calculated at a rate of ten percent (10%) per annum of the aggregate purchase price for such Registrable Securities pursuant to the Subscription Agreement or upon exercise of Placement Agent Warrants (or in the case of unexercised Placement Agent Warrants, of the exercise price thereof) with respect to such Holder’s Registrable Securities that are affected by such Registration Event, for the period during which such Registration Event continues to affect such Registrable Securities (the “</w:t>
      </w:r>
      <w:r>
        <w:rPr>
          <w:rFonts w:ascii="Arial" w:cs="Arial" w:eastAsia="Arial" w:hAnsi="Arial"/>
          <w:sz w:val="16"/>
          <w:szCs w:val="16"/>
          <w:b w:val="1"/>
          <w:bCs w:val="1"/>
          <w:color w:val="auto"/>
        </w:rPr>
        <w:t>Registration Default Period</w:t>
      </w:r>
      <w:r>
        <w:rPr>
          <w:rFonts w:ascii="Arial" w:cs="Arial" w:eastAsia="Arial" w:hAnsi="Arial"/>
          <w:sz w:val="16"/>
          <w:szCs w:val="16"/>
          <w:color w:val="auto"/>
        </w:rPr>
        <w:t>”). Each payment of liquidated damages pursuant to this Section 3(d) shall be due and payable in arrears within five (5) days after the end of each full 30-day period of the Registration Default Period until the termination of the Registration Default Period and within five (5) days after such termination. The Registration Default Period shall terminate upon the earlier of such time as the Registrable Securities that are affected by the Registration Event cease to be Registrable Securities or (i) the filing of the Registration Statement in the case of clause (a) of the definition of Registration Event, (ii) the SEC Effective Date in the case of clause (b) of the definition of Registration Event, (iii) the ability of the Holders to effect sales pursuant to the Registration Statement in the case of clause (c) of the definition of Registration Event, (iv) the listing or inclusion and/or trading of the Common Stock on an Approved Market, as the case may be, in the case of clause (d) of the definition of Registration Event and (v) for each Holder, such Holder’s Registrable Securities become eligible for resale pursuant to Rule 144 in the case of clause (e) of the definition of Registration Event. The amounts payable as liquidated damages pursuant to this Section 3(d) shall be payable in cash in lawful money of the United States. Notwithstanding the foregoing, the Company will not be liable for the payment of liquidated damages described in this Section 3(d) for any delay in registration of Registrable Securities that would otherwise be includable in the Registration Statement solely as a result of a comment received by the Staff requiring a limit on the number of Registrable Securities included in such Registration Statement in order for such Registration Statement to be able to avail itself of Rule 415 (a “</w:t>
      </w:r>
      <w:r>
        <w:rPr>
          <w:rFonts w:ascii="Arial" w:cs="Arial" w:eastAsia="Arial" w:hAnsi="Arial"/>
          <w:sz w:val="16"/>
          <w:szCs w:val="16"/>
          <w:b w:val="1"/>
          <w:bCs w:val="1"/>
          <w:color w:val="auto"/>
        </w:rPr>
        <w:t>Cutback Comment</w:t>
      </w:r>
      <w:r>
        <w:rPr>
          <w:rFonts w:ascii="Arial" w:cs="Arial" w:eastAsia="Arial" w:hAnsi="Arial"/>
          <w:sz w:val="16"/>
          <w:szCs w:val="16"/>
          <w:color w:val="auto"/>
        </w:rPr>
        <w:t>”). In the event of any such Cutback Comment, the Company will use its commercially reasonable efforts at the first opportunity that is permitted by the Commission to register for resale the Registrable Securities that have been cut back from being registered pursuant to Cutback Comment only with respect to that portion of the Holders’ Registrable Securities that are then Registrable Securities.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Cutbacks: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(1)(a) if the Commission does not declare the Registration Statement effective on or before the Registration Default Date, or (b) if the Commission allows the Registration Statement to be declared effective at any time before or after the Registration Default Date, subject to the withdrawal of certain Registrable Securities from the Registration Statement, and the reason for (a) or (b) is the Commission’s determination that (x) the offering of any of the Registrable Securities constitutes a primary offering of securities by the Company, (y) Rule 415 may not be relied upon for the registration of the resale of any or all of the Registrable Securities, and/or (z) a Holder of any Registrable Securities must be named as an underwriter, the Holders understand and agree that in the case of (b) the Company may reduce,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the total number of Registrable Securities to be registered on behalf of each such Holder. In any such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reduction, the number of Registrable Securities to be registered on such Registration Statement will first be reduced by (i) first, the Registrable Securities represented by the Registrable Warrant Shares (applied, in the case that some Registrable Warrant Shares may be registered, to the 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total number of unregistered Registrable Warrant Shares held by such Holders on a fully diluted basis), and (ii) second, Registrable Securities represented by Shares (applied, in the case that some Shares may be registered, to the Holders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total number of unregistered Shares held by such Holders). In addition, any such affected Holder shall be entitled to Piggyback Registration rights after the Registration Statement is declared effective by the Commission until such time as: (AA) all Registrable Securities have been registered pursuant to an effective Registration Statement, (BB) the Registrable Securities may be resold without restriction pursuant to Rule 144 of the Securities Act, or (CC) the Holder agrees to be named as an underwriter in any such registration statement. The Holders acknowledge and agree the provisions of this paragraph may apply to more than one Registration Statement; and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left="-20" w:firstLine="656"/>
        <w:spacing w:after="0" w:line="287" w:lineRule="auto"/>
        <w:tabs>
          <w:tab w:leader="none" w:pos="1385"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not more than twenty (20) consecutive days or for a total of not more than forty-five (45) days in any twelve (12) month period,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including in connection with the filing of a post-effective amendment to such Registration Statement in connection with the Company’s filing of an Annual Report on Form 10-K for any fiscal year (an “</w:t>
      </w:r>
      <w:r>
        <w:rPr>
          <w:rFonts w:ascii="Arial" w:cs="Arial" w:eastAsia="Arial" w:hAnsi="Arial"/>
          <w:sz w:val="16"/>
          <w:szCs w:val="16"/>
          <w:b w:val="1"/>
          <w:bCs w:val="1"/>
          <w:color w:val="auto"/>
        </w:rPr>
        <w:t>Allowed Delay</w:t>
      </w:r>
      <w:r>
        <w:rPr>
          <w:rFonts w:ascii="Arial" w:cs="Arial" w:eastAsia="Arial" w:hAnsi="Arial"/>
          <w:sz w:val="16"/>
          <w:szCs w:val="16"/>
          <w:color w:val="auto"/>
        </w:rPr>
        <w:t>”); provided, that the Company shall promptly (a) notify each Holder in writing of the commencement of an Allowed Delay, but shall not (without the prior written consent of an Holder) disclose to such Holder any material non-public information giving rise to an Allowed Delay, (b) advise the Holders in writing to cease all sales under the Registration Statement until the end of the Allowed Delay and (c) use commercially reasonable efforts to terminate an Allowed Delay as promptly as practicable.</w:t>
      </w:r>
    </w:p>
    <w:p>
      <w:pPr>
        <w:spacing w:after="0" w:line="173" w:lineRule="exact"/>
        <w:rPr>
          <w:sz w:val="20"/>
          <w:szCs w:val="20"/>
          <w:color w:val="auto"/>
        </w:rPr>
      </w:pPr>
    </w:p>
    <w:p>
      <w:pPr>
        <w:jc w:val="both"/>
        <w:ind w:left="-20" w:firstLine="656"/>
        <w:spacing w:after="0" w:line="264" w:lineRule="auto"/>
        <w:tabs>
          <w:tab w:leader="none" w:pos="125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Registration Procedures for Registrable Securities</w:t>
      </w:r>
      <w:r>
        <w:rPr>
          <w:rFonts w:ascii="Arial" w:cs="Arial" w:eastAsia="Arial" w:hAnsi="Arial"/>
          <w:sz w:val="18"/>
          <w:szCs w:val="18"/>
          <w:color w:val="auto"/>
        </w:rPr>
        <w:t>. The Company will keep each Holder included as a selling stockholder in the Registration Statement reasonably advised as to the filing and effectiveness of the Registration Statement. At its expense with respect to the Registration Statement, the Company will:</w:t>
      </w:r>
    </w:p>
    <w:p>
      <w:pPr>
        <w:spacing w:after="0" w:line="181" w:lineRule="exact"/>
        <w:rPr>
          <w:rFonts w:ascii="Arial" w:cs="Arial" w:eastAsia="Arial" w:hAnsi="Arial"/>
          <w:sz w:val="18"/>
          <w:szCs w:val="18"/>
          <w:color w:val="auto"/>
        </w:rPr>
      </w:pPr>
    </w:p>
    <w:p>
      <w:pPr>
        <w:jc w:val="both"/>
        <w:ind w:left="-20" w:firstLine="1305"/>
        <w:spacing w:after="0" w:line="270" w:lineRule="auto"/>
        <w:tabs>
          <w:tab w:leader="none" w:pos="2061" w:val="left"/>
        </w:tabs>
        <w:numPr>
          <w:ilvl w:val="1"/>
          <w:numId w:val="71"/>
        </w:numPr>
        <w:rPr>
          <w:rFonts w:ascii="Arial" w:cs="Arial" w:eastAsia="Arial" w:hAnsi="Arial"/>
          <w:sz w:val="17"/>
          <w:szCs w:val="17"/>
          <w:color w:val="auto"/>
        </w:rPr>
      </w:pPr>
      <w:r>
        <w:rPr>
          <w:rFonts w:ascii="Arial" w:cs="Arial" w:eastAsia="Arial" w:hAnsi="Arial"/>
          <w:sz w:val="17"/>
          <w:szCs w:val="17"/>
          <w:color w:val="auto"/>
        </w:rPr>
        <w:t>prepare and file with the Commission with respect to the Registrable Securities, a Registration Statement on Form S-3, or any other form for which the Company then qualifies or which counsel for the Company shall deem appropriate and which form shall be available for the sale of the Registrable Securities in accordance with the intended methods of distribution thereof, and use its commercially reasonable efforts to cause such Registration Statement to become effective and shall remain effective for a period of one year or for such shorter period ending on the earlier to occur of (i) the date as of which all of the Holders as selling stockholders thereunder may sell all of the Registrable Securities registered for resale thereon without restriction pursuant to Rule 144 (or any successor rule thereto) promulgated under the Securities Act or (ii) the date when all of the Registrable Securities registered thereunder shall have been sold (the “</w:t>
      </w:r>
      <w:r>
        <w:rPr>
          <w:rFonts w:ascii="Arial" w:cs="Arial" w:eastAsia="Arial" w:hAnsi="Arial"/>
          <w:sz w:val="17"/>
          <w:szCs w:val="17"/>
          <w:b w:val="1"/>
          <w:bCs w:val="1"/>
          <w:color w:val="auto"/>
        </w:rPr>
        <w:t>Effectiveness Period</w:t>
      </w:r>
      <w:r>
        <w:rPr>
          <w:rFonts w:ascii="Arial" w:cs="Arial" w:eastAsia="Arial" w:hAnsi="Arial"/>
          <w:sz w:val="17"/>
          <w:szCs w:val="17"/>
          <w:color w:val="auto"/>
        </w:rPr>
        <w:t>”). Thereafter, the Company shall be entitled to withdraw such Registration Statement and the Purchasers shall have no further right to offer or sell any of the Registrable Securities registered for resale thereon pursuant to the respective Registration Statement (or any prospectus relating thereto);</w:t>
      </w:r>
    </w:p>
    <w:p>
      <w:pPr>
        <w:spacing w:after="0" w:line="181" w:lineRule="exact"/>
        <w:rPr>
          <w:rFonts w:ascii="Arial" w:cs="Arial" w:eastAsia="Arial" w:hAnsi="Arial"/>
          <w:sz w:val="17"/>
          <w:szCs w:val="17"/>
          <w:color w:val="auto"/>
        </w:rPr>
      </w:pPr>
    </w:p>
    <w:p>
      <w:pPr>
        <w:ind w:left="-20" w:firstLine="1305"/>
        <w:spacing w:after="0" w:line="277" w:lineRule="auto"/>
        <w:tabs>
          <w:tab w:leader="none" w:pos="2179"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the Registration Statement is subject to review by the Commission, respond in a commercially reasonable manner to all comments and diligently pursue resolution of any comments to the satisfaction of the Commission;</w:t>
      </w:r>
    </w:p>
    <w:p>
      <w:pPr>
        <w:spacing w:after="0" w:line="170" w:lineRule="exact"/>
        <w:rPr>
          <w:rFonts w:ascii="Arial" w:cs="Arial" w:eastAsia="Arial" w:hAnsi="Arial"/>
          <w:sz w:val="18"/>
          <w:szCs w:val="18"/>
          <w:color w:val="auto"/>
        </w:rPr>
      </w:pPr>
    </w:p>
    <w:p>
      <w:pPr>
        <w:ind w:left="-20" w:right="20" w:firstLine="1305"/>
        <w:spacing w:after="0" w:line="277" w:lineRule="auto"/>
        <w:tabs>
          <w:tab w:leader="none" w:pos="2007" w:val="left"/>
        </w:tabs>
        <w:numPr>
          <w:ilvl w:val="1"/>
          <w:numId w:val="71"/>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as may be necessary to keep such Registration Statement effective during the Effectiveness Period;</w:t>
      </w:r>
    </w:p>
    <w:p>
      <w:pPr>
        <w:spacing w:after="0" w:line="170" w:lineRule="exact"/>
        <w:rPr>
          <w:rFonts w:ascii="Arial" w:cs="Arial" w:eastAsia="Arial" w:hAnsi="Arial"/>
          <w:sz w:val="18"/>
          <w:szCs w:val="18"/>
          <w:color w:val="auto"/>
        </w:rPr>
      </w:pPr>
    </w:p>
    <w:p>
      <w:pPr>
        <w:jc w:val="both"/>
        <w:ind w:left="-20" w:firstLine="1305"/>
        <w:spacing w:after="0" w:line="255" w:lineRule="auto"/>
        <w:tabs>
          <w:tab w:leader="none" w:pos="199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furnish, without charge, to each Holder of Registrable Securities covered by such Registration Statement (i) a reasonable number of copies of such Registration Statement (including any exhibits thereto other than exhibits incorporated by reference), each amendment and supplement thereto as such Holder may reasonably request, (ii) such number of copies of the prospectus included in such Registration Statement (including each preliminary prospectus and any other prospectus filed under Rule 424 of the Securities Act) as such Holders may reasonably request, in conformity with the requirements of the Securities Act, and (iii) such other documents as such Holder may require to consummate the disposition of the Registrable Securities owned by such Holder, but only during the Effectiveness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69" w:name="page70"/>
    <w:bookmarkEnd w:id="69"/>
    <w:p>
      <w:pPr>
        <w:jc w:val="both"/>
        <w:ind w:left="-20" w:firstLine="1305"/>
        <w:spacing w:after="0" w:line="255" w:lineRule="auto"/>
        <w:tabs>
          <w:tab w:leader="none" w:pos="19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use its commercially reasonable efforts to register or qualify such registration under such other applicable securities laws of such jurisdictions as any Holder of Registrable Securities covered by such Registration Statement reasonably requests and as may be necessary for the marketability of the Registrable Securities (such request to be made by the time the applicable Registration Statement is deemed effective by the Commission) and do any and all other acts and things necessary to enable such Holder to consummate the disposition in such jurisdictions of the Registrable Securities owned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(i) qualify generally to do business in any jurisdiction where it would not otherwise be required to qualify but for this paragraph, (ii) subject itself to taxation in any such jurisdiction, or (iii) consent to general service of process in any such jurisdiction.</w:t>
      </w:r>
    </w:p>
    <w:p>
      <w:pPr>
        <w:spacing w:after="0" w:line="189" w:lineRule="exact"/>
        <w:rPr>
          <w:rFonts w:ascii="Arial" w:cs="Arial" w:eastAsia="Arial" w:hAnsi="Arial"/>
          <w:sz w:val="18"/>
          <w:szCs w:val="18"/>
          <w:color w:val="auto"/>
        </w:rPr>
      </w:pPr>
    </w:p>
    <w:p>
      <w:pPr>
        <w:jc w:val="both"/>
        <w:ind w:left="-20" w:firstLine="1305"/>
        <w:spacing w:after="0" w:line="289" w:lineRule="auto"/>
        <w:tabs>
          <w:tab w:leader="none" w:pos="1987"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notify each Holder of Registrable Securities, the disposition of which requires delivery of a prospectus relating thereto under the Securities Act, of the happening of any event (as promptly as practicable after becoming aware of such event), which comes to the Company’s attention, that will after the occurrence of such event cause the prospectus included in such Registration Statement, if not amended or supplemented, to contain an untrue statement of a material fact or an omission to state a material fact required to be stated therein or necessary to make the statements therein not misleading and the Company shall promptly thereafter prepare and furnish to such Holder a supplement or amendment to such prospectus (or prepare and file appropriate reports under the Exchange Act) so that, as thereafter delivered to the purchasers of such Registrable Securities, such prospectus shall not contain an untrue statement of a material fact or omit to state any material fact required to be stated therein or necessary to make the statements therein not misleading, unless suspension of the use of such prospectus otherwise is authorized herein or in the event of a Blackout Period, in which case no supplement or amendment need be furnished (or Exchange Act filing made) until the termination of such suspension or Blackout Period;</w:t>
      </w:r>
    </w:p>
    <w:p>
      <w:pPr>
        <w:spacing w:after="0" w:line="166" w:lineRule="exact"/>
        <w:rPr>
          <w:rFonts w:ascii="Arial" w:cs="Arial" w:eastAsia="Arial" w:hAnsi="Arial"/>
          <w:sz w:val="16"/>
          <w:szCs w:val="16"/>
          <w:color w:val="auto"/>
        </w:rPr>
      </w:pPr>
    </w:p>
    <w:p>
      <w:pPr>
        <w:ind w:left="-20" w:firstLine="1305"/>
        <w:spacing w:after="0" w:line="342" w:lineRule="auto"/>
        <w:tabs>
          <w:tab w:leader="none" w:pos="19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comply, and continue to comply during the Effectiveness Period, in all material respects with the Securities Act and the Exchange Act and with all applicable rules and regulations of the Commission with respect to the disposition of all securities covered by such Registration Statement;</w:t>
      </w:r>
    </w:p>
    <w:p>
      <w:pPr>
        <w:spacing w:after="0" w:line="123" w:lineRule="exact"/>
        <w:rPr>
          <w:rFonts w:ascii="Arial" w:cs="Arial" w:eastAsia="Arial" w:hAnsi="Arial"/>
          <w:sz w:val="16"/>
          <w:szCs w:val="16"/>
          <w:color w:val="auto"/>
        </w:rPr>
      </w:pPr>
    </w:p>
    <w:p>
      <w:pPr>
        <w:jc w:val="both"/>
        <w:ind w:left="-20" w:firstLine="1305"/>
        <w:spacing w:after="0" w:line="342" w:lineRule="auto"/>
        <w:tabs>
          <w:tab w:leader="none" w:pos="19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 promptly as practicable after becoming aware of such event, notify each Holder of Registrable Securities being offered or sold pursuant to the Registration Statement of the issuance by the Commission of any stop order or other suspension of effectiveness of the Registration Statement;</w:t>
      </w:r>
    </w:p>
    <w:p>
      <w:pPr>
        <w:spacing w:after="0" w:line="123" w:lineRule="exact"/>
        <w:rPr>
          <w:rFonts w:ascii="Arial" w:cs="Arial" w:eastAsia="Arial" w:hAnsi="Arial"/>
          <w:sz w:val="16"/>
          <w:szCs w:val="16"/>
          <w:color w:val="auto"/>
        </w:rPr>
      </w:pPr>
    </w:p>
    <w:p>
      <w:pPr>
        <w:ind w:left="-20" w:firstLine="1305"/>
        <w:spacing w:after="0" w:line="342" w:lineRule="auto"/>
        <w:tabs>
          <w:tab w:leader="none" w:pos="1964" w:val="left"/>
        </w:tabs>
        <w:numPr>
          <w:ilvl w:val="0"/>
          <w:numId w:val="72"/>
        </w:numPr>
        <w:rPr>
          <w:rFonts w:ascii="Arial" w:cs="Arial" w:eastAsia="Arial" w:hAnsi="Arial"/>
          <w:sz w:val="16"/>
          <w:szCs w:val="16"/>
          <w:color w:val="auto"/>
        </w:rPr>
      </w:pPr>
      <w:r>
        <w:rPr>
          <w:rFonts w:ascii="Arial" w:cs="Arial" w:eastAsia="Arial" w:hAnsi="Arial"/>
          <w:sz w:val="16"/>
          <w:szCs w:val="16"/>
          <w:color w:val="auto"/>
        </w:rPr>
        <w:t>use its commercially reasonable efforts to cause all the Registrable Securities covered by the Registration Statement to be quoted on the OTC Bulletin Board or such other Approved Market on which securities of the same class or series issued by the Company are then listed or traded;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0" w:name="page71"/>
    <w:bookmarkEnd w:id="70"/>
    <w:p>
      <w:pPr>
        <w:ind w:left="1900" w:hanging="615"/>
        <w:spacing w:after="0"/>
        <w:tabs>
          <w:tab w:leader="none" w:pos="1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provide a transfer agent and registrar, which may be a single entity, for the shares of Common Stock at all times;</w:t>
      </w:r>
    </w:p>
    <w:p>
      <w:pPr>
        <w:spacing w:after="0" w:line="225" w:lineRule="exact"/>
        <w:rPr>
          <w:rFonts w:ascii="Arial" w:cs="Arial" w:eastAsia="Arial" w:hAnsi="Arial"/>
          <w:sz w:val="18"/>
          <w:szCs w:val="18"/>
          <w:color w:val="auto"/>
        </w:rPr>
      </w:pPr>
    </w:p>
    <w:p>
      <w:pPr>
        <w:jc w:val="both"/>
        <w:ind w:left="-20" w:firstLine="1305"/>
        <w:spacing w:after="0" w:line="259" w:lineRule="auto"/>
        <w:tabs>
          <w:tab w:leader="none" w:pos="195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requested by the Holders, cooperate with the Holders to facilitate the timely preparation and delivery of certificates representing Registrable Securities to be delivered to a transferee pursuant to the Registration Statement, which certificates shall be free, to the extent permitted by applicable law, of all restrictive legends, and to enable such Registrable Securities to be in such denominations and registered in such names as any such Holders may request;</w:t>
      </w:r>
    </w:p>
    <w:p>
      <w:pPr>
        <w:spacing w:after="0" w:line="186" w:lineRule="exact"/>
        <w:rPr>
          <w:rFonts w:ascii="Arial" w:cs="Arial" w:eastAsia="Arial" w:hAnsi="Arial"/>
          <w:sz w:val="18"/>
          <w:szCs w:val="18"/>
          <w:color w:val="auto"/>
        </w:rPr>
      </w:pPr>
    </w:p>
    <w:p>
      <w:pPr>
        <w:jc w:val="both"/>
        <w:ind w:left="-20" w:firstLine="1305"/>
        <w:spacing w:after="0" w:line="264" w:lineRule="auto"/>
        <w:tabs>
          <w:tab w:leader="none" w:pos="204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during the Effectiveness Period, refrain from bidding for or purchasing any Common Stock or any right to purchase Common Stock or attempting to induce any person to purchase any such security or right if such bid, purchase or attempt would in any way limit the right of the Holders to sell Registrable Securities by reason of the limitations set forth in Regulation M of the Exchange Act; and</w:t>
      </w:r>
    </w:p>
    <w:p>
      <w:pPr>
        <w:spacing w:after="0" w:line="181" w:lineRule="exact"/>
        <w:rPr>
          <w:rFonts w:ascii="Arial" w:cs="Arial" w:eastAsia="Arial" w:hAnsi="Arial"/>
          <w:sz w:val="18"/>
          <w:szCs w:val="18"/>
          <w:color w:val="auto"/>
        </w:rPr>
      </w:pPr>
    </w:p>
    <w:p>
      <w:pPr>
        <w:ind w:left="-20" w:firstLine="1305"/>
        <w:spacing w:after="0" w:line="277" w:lineRule="auto"/>
        <w:tabs>
          <w:tab w:leader="none" w:pos="206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take all other reasonable actions necessary to expedite and facilitate the disposition by the Holders of the Registrable Securities pursuant to the Registration Statement.</w:t>
      </w:r>
    </w:p>
    <w:p>
      <w:pPr>
        <w:spacing w:after="0" w:line="170" w:lineRule="exact"/>
        <w:rPr>
          <w:rFonts w:ascii="Arial" w:cs="Arial" w:eastAsia="Arial" w:hAnsi="Arial"/>
          <w:sz w:val="18"/>
          <w:szCs w:val="18"/>
          <w:color w:val="auto"/>
        </w:rPr>
      </w:pPr>
    </w:p>
    <w:p>
      <w:pPr>
        <w:jc w:val="both"/>
        <w:ind w:left="-20" w:firstLine="656"/>
        <w:spacing w:after="0" w:line="273" w:lineRule="auto"/>
        <w:tabs>
          <w:tab w:leader="none" w:pos="1272"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Suspension of Offers and Sales</w:t>
      </w:r>
      <w:r>
        <w:rPr>
          <w:rFonts w:ascii="Arial" w:cs="Arial" w:eastAsia="Arial" w:hAnsi="Arial"/>
          <w:sz w:val="17"/>
          <w:szCs w:val="17"/>
          <w:color w:val="auto"/>
        </w:rPr>
        <w:t>. Each Holder agrees that, upon receipt of any notice from the Company of the happening of any event of the kind described in Section 4(f) hereof or of the commencement of a Blackout Period, such Holder shall discontinue the disposition of Registrable Securities included in the Registration Statement until such Holder’s receipt of the copies of the supplemented or amended prospectus contemplated by Section 4(f) hereof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spacing w:after="0" w:line="178" w:lineRule="exact"/>
        <w:rPr>
          <w:rFonts w:ascii="Arial" w:cs="Arial" w:eastAsia="Arial" w:hAnsi="Arial"/>
          <w:sz w:val="17"/>
          <w:szCs w:val="17"/>
          <w:color w:val="auto"/>
        </w:rPr>
      </w:pPr>
    </w:p>
    <w:p>
      <w:pPr>
        <w:jc w:val="both"/>
        <w:ind w:left="-20" w:firstLine="656"/>
        <w:spacing w:after="0" w:line="257" w:lineRule="auto"/>
        <w:tabs>
          <w:tab w:leader="none" w:pos="144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The Company shall pay all expenses in connection with any registration obligation provided herein, including, without limitation, all registration, filing, stock exchange fees, printing expenses, all fees and expenses of complying with applicable securities laws, and the fees and disbursements of counsel for the Company and of its independent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registration, each party shall pay for its own underwriting discounts and commissions and transfer taxes. Except as provided in this Section and Section 9, the Company shall not be responsible for the expenses of any attorney or other advisor employed by a Holder.</w:t>
      </w:r>
    </w:p>
    <w:p>
      <w:pPr>
        <w:spacing w:after="0" w:line="188" w:lineRule="exact"/>
        <w:rPr>
          <w:rFonts w:ascii="Arial" w:cs="Arial" w:eastAsia="Arial" w:hAnsi="Arial"/>
          <w:sz w:val="18"/>
          <w:szCs w:val="18"/>
          <w:color w:val="auto"/>
        </w:rPr>
      </w:pPr>
    </w:p>
    <w:p>
      <w:pPr>
        <w:jc w:val="both"/>
        <w:ind w:left="-20" w:firstLine="656"/>
        <w:spacing w:after="0" w:line="276" w:lineRule="auto"/>
        <w:tabs>
          <w:tab w:leader="none" w:pos="1258"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Assignment of Rights</w:t>
      </w:r>
      <w:r>
        <w:rPr>
          <w:rFonts w:ascii="Arial" w:cs="Arial" w:eastAsia="Arial" w:hAnsi="Arial"/>
          <w:sz w:val="17"/>
          <w:szCs w:val="17"/>
          <w:color w:val="auto"/>
        </w:rPr>
        <w:t xml:space="preserve">. No Holder may assign its rights under this Agreement to any party without the prior written consent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Holder may assign its rights under this Agreement without such consent to a Permitted Assignee as long as (a) such transfer or assignment is effected in accordance with applicable securities laws; (b) such transferee or assignee agrees in writing to become subject to the terms of this Agreement; and (c) such Holder notifies the Company in writing of such transfer or assignment, stating the name and address of the transferee or assignee and identifying the Registrable Securities with respect to which such rights are being transferred or assigned.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71" w:name="page72"/>
    <w:bookmarkEnd w:id="71"/>
    <w:p>
      <w:pPr>
        <w:jc w:val="both"/>
        <w:ind w:left="-20" w:firstLine="656"/>
        <w:spacing w:after="0" w:line="259" w:lineRule="auto"/>
        <w:tabs>
          <w:tab w:leader="none" w:pos="144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Information by Holder</w:t>
      </w:r>
      <w:r>
        <w:rPr>
          <w:rFonts w:ascii="Arial" w:cs="Arial" w:eastAsia="Arial" w:hAnsi="Arial"/>
          <w:sz w:val="18"/>
          <w:szCs w:val="18"/>
          <w:color w:val="auto"/>
        </w:rPr>
        <w:t>. A Holder of Registrable Securities included in any registration shall furnish to the Company such information regarding itself, the Registrable Securities held by it, and the intended method of disposition of such securities as shall be required in order to comply with any applicable law or regulation in connection with the registration of such Holder’s Registrable Securities or any qualification or compliance with respect to such Holder’s Registrable Securities and referred to in this Agreement.</w:t>
      </w:r>
    </w:p>
    <w:p>
      <w:pPr>
        <w:spacing w:after="0" w:line="186" w:lineRule="exact"/>
        <w:rPr>
          <w:rFonts w:ascii="Arial" w:cs="Arial" w:eastAsia="Arial" w:hAnsi="Arial"/>
          <w:sz w:val="18"/>
          <w:szCs w:val="18"/>
          <w:color w:val="auto"/>
        </w:rPr>
      </w:pPr>
    </w:p>
    <w:p>
      <w:pPr>
        <w:ind w:left="1260" w:hanging="624"/>
        <w:spacing w:after="0"/>
        <w:tabs>
          <w:tab w:leader="none" w:pos="12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85" w:lineRule="auto"/>
        <w:tabs>
          <w:tab w:leader="none" w:pos="1926"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In the event of the offer and sale of Registrable Securities under the Securities Act, the Company shall, and hereby does, indemnify and hold harmless, to the fullest extent permitted by law, each Holder, its directors, officers, partners, each other person who participates as an underwriter in the offering or sale of such securities, and each other person, if any, who controls or is under common control with such Holder or any such underwriter within the meaning of Section 15 of the Securities Act, against any losses, claims, damages or liabilities, joint or several, and expenses to which the Holder or any such director, officer, partner or underwriter or controlling person may become subject under the Securities Act, the Exchange Act, or any other federal or state law, insofar as such losses, claims, damages, liabilities or expenses (or actions or proceedings, whether commenced or threatened, in respect thereof) arise out of or are based upon any untrue statement of any material fact contained in any registration statement prepared and filed by the Company under which Registrable Securities were registered under the Securities Act, any preliminary prospectus, final prospectus or summary prospectus contained therein, or any amendment or supplement thereto, or any omission to state therein a material fact required to be stated or necessary to make the statements therein in light of the circumstances in which they were made not misleading, or any violation or alleged violation of the Securities Act, the Exchange Act, any state securities law or any rule or regulation promulgated under the Securities Act, the Exchange Act or any state securities law in connection with this Agreement; and the Company shall reimburse the Holder, and each such director, officer, partner, underwriter and controlling person for any legal or any other expenses reasonably incurred by them in connection with investigating, defending or settling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agreement found in this Section 9(a) shall in no event exceed the net proceeds from the Offering received by the Company;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Company shall not be liable in any such case to the extent that any such loss, claim, damage, liability (or action or proceeding in respect thereof) or expense arises out of or is based upon an untrue statement in or omission from such registration statement, any such preliminary prospectus, final prospectus, summary prospectus, amendment or supplement in reliance upon and in conformity with written information furnished to the Company by the Holder specifically for use in the preparation thereof. Such indemnity shall remain in full force and effect regardless of any investigation made by or on behalf of the Holders, or any such director, officer, partner, underwriter or controlling person and shall survive the transfer of such shares by the Holder.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72" w:name="page73"/>
    <w:bookmarkEnd w:id="72"/>
    <w:p>
      <w:pPr>
        <w:jc w:val="both"/>
        <w:ind w:left="-20" w:firstLine="1305"/>
        <w:spacing w:after="0" w:line="285" w:lineRule="auto"/>
        <w:tabs>
          <w:tab w:leader="none" w:pos="209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a condition to including Registrable Securities in any registration statement filed pursuant to this Agreement, each Holder agrees to be bound by the terms of this Section 9 and to indemnify and hold harmless, to the fullest extent permitted by law, the Company, its directors and officers, and each other person, if any, who controls the Company within the meaning of Section 15 of the Securities Act, against any losses, claims, damages or liabilities, joint or several, to which the Company or any such director or officer or controlling person may become subject under the Securities Act, the Exchange Act, or any other federal or state law, to the extent arising out of or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the registration statement or such prospectus or (ii) to the extent that (1)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or (2) in the case of an occurrence of an event of the type specified in Section 4(f) hereof, the use by such Holder of an outdated or defective prospectus after the Company has notified such Holder in writing that the prospectus is outdated or defective and prior to the receipt by such Holder of the advice contemplated in Section 4(f).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77" w:lineRule="exact"/>
        <w:rPr>
          <w:rFonts w:ascii="Arial" w:cs="Arial" w:eastAsia="Arial" w:hAnsi="Arial"/>
          <w:sz w:val="16"/>
          <w:szCs w:val="16"/>
          <w:color w:val="auto"/>
        </w:rPr>
      </w:pPr>
    </w:p>
    <w:p>
      <w:pPr>
        <w:jc w:val="both"/>
        <w:ind w:left="-20" w:firstLine="1305"/>
        <w:spacing w:after="0" w:line="285" w:lineRule="auto"/>
        <w:tabs>
          <w:tab w:leader="none" w:pos="207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of notice of the commencement of any action or proceeding involving a claim referred to in this Section (including any governmental action), such indemnified party shall, if a claim in respect thereof is to be made against an indemnifying party, give written notice to the indemnifying party of the commencement of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of any indemnified party to give notice as provided herein shall not relieve the indemnifying party of its obligations under this Section, except to the extent that the indemnifying party is actually prejudiced by such failure to give notice. In case any such action is brought against an indemnified party, unless in the reasonable judgment of counsel to such indemnified party a conflict of interest between such indemnified and indemnifying parties may exist or the indemnified party may have defenses not available to the indemnifying party in respect of such claim, the indemnifying party shall be entitled to participate in and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unless in such indemnified party’s reasonable judgment a conflict of interest between such indemnified and indemnifying parties arises in respect of such claim after the assumption of the defenses thereof or the indemnifying party fails to defend such claim in a diligent manner, other than reasonable costs of investigation. Neither an indemnified nor an indemnifying party shall be liable for any settlement of any action or proceeding effected without its consent. No indemnifying party shall, without the consent of the indemnified party, consent to entry of any judgment or enter into any settlement, which does not include as an unconditional term thereof the giving by the claimant or plaintiff to such indemnified party of a release from all liability in respect of such claim or litigation. Notwithstanding anything to the contrary set forth herein, and without limiting any of the rights set forth above, in any event any party shall have the right to retain, at its own expense, counsel with respect to the defense of a claim.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3" w:name="page74"/>
    <w:bookmarkEnd w:id="73"/>
    <w:p>
      <w:pPr>
        <w:jc w:val="both"/>
        <w:ind w:left="-20" w:firstLine="1305"/>
        <w:spacing w:after="0" w:line="269" w:lineRule="auto"/>
        <w:tabs>
          <w:tab w:leader="none" w:pos="2085"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the indemnification provided for in Section 9(a) or 9(b) is held by a court of competent jurisdiction to be unavailable to an indemnified party with respect to any loss, liability, claim, damage or expense referred to herein, the indemnifying party, in lieu of indemnifying such indemnified party hereunder, shall (i) contribute to the amount paid or payable by such indemnified party as a result of such loss, liability, claim, damage or expense as is appropriate to reflect the proportionate relative fault of the indemnifying party on the one hand and the indemnified party on the other (determined by reference to, among other things, whether the untrue or alleged untrue statement of a material fact or omission relates to information supplied by the indemnifying party or the indemnified party and the parties’ relative intent, knowledge, access to information and opportunity to correct or prevent such untrue statement or omission), or (ii) if the allocation provided by clause (i) above is not permitted by applicable law or provides a lesser sum to the indemnified party than the amount hereinafter calculated, not only the proportionate relative fault of the indemnifying party and the indemnified party, but also the relative benefits received by the indemnifying party on the one hand and the indemnified party on the other, as well as any other relevant equitable considerations. No indemnified party guilty of fraudulent misrepresentation (within the meaning of Section 11(f) of the Securities Act) shall be entitled to contribution from any indemnifying party who was not guilty of such fraudulent misrepresentation.</w:t>
      </w:r>
    </w:p>
    <w:p>
      <w:pPr>
        <w:spacing w:after="0" w:line="182" w:lineRule="exact"/>
        <w:rPr>
          <w:rFonts w:ascii="Arial" w:cs="Arial" w:eastAsia="Arial" w:hAnsi="Arial"/>
          <w:sz w:val="17"/>
          <w:szCs w:val="17"/>
          <w:color w:val="auto"/>
        </w:rPr>
      </w:pPr>
    </w:p>
    <w:p>
      <w:pPr>
        <w:jc w:val="both"/>
        <w:ind w:left="-20" w:firstLine="1305"/>
        <w:spacing w:after="0" w:line="264" w:lineRule="auto"/>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Indemnification similar to that specified in this Section (with appropriate modifications) shall be given by the Company and each Holder of Registrable Securities with respect to any required registration or other qualification of securities under any federal or state law or regulation or governmental authority other than the Securities Act.</w:t>
      </w:r>
    </w:p>
    <w:p>
      <w:pPr>
        <w:spacing w:after="0" w:line="181" w:lineRule="exact"/>
        <w:rPr>
          <w:rFonts w:ascii="Arial" w:cs="Arial" w:eastAsia="Arial" w:hAnsi="Arial"/>
          <w:sz w:val="18"/>
          <w:szCs w:val="18"/>
          <w:color w:val="auto"/>
        </w:rPr>
      </w:pPr>
    </w:p>
    <w:p>
      <w:pPr>
        <w:jc w:val="both"/>
        <w:ind w:left="-20" w:firstLine="656"/>
        <w:spacing w:after="0" w:line="270" w:lineRule="auto"/>
        <w:tabs>
          <w:tab w:leader="none" w:pos="1299"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Rule 144</w:t>
      </w:r>
      <w:r>
        <w:rPr>
          <w:rFonts w:ascii="Arial" w:cs="Arial" w:eastAsia="Arial" w:hAnsi="Arial"/>
          <w:sz w:val="17"/>
          <w:szCs w:val="17"/>
          <w:color w:val="auto"/>
        </w:rPr>
        <w:t>. With a view to making available to the Holders the benefits of Rule 144 and any other rule or regulation of the Commission that may at any time permit the Holders to sell the Registrable Securities to the public without registration, the Company agrees: (i) to make and keep public information available as those terms are understood in Rule 144, (ii) to file with the Commission in a timely manner all reports and other documents required to be filed by an issuer of securities registered under the Securities Act or the Exchange Act pursuant to Rule 144, (iii) as long as any Holder owns any Registrable Securities, to furnish in writing upon such Holder’s request a written statement by the Company that it has complied with the reporting requirements of Rule 144 and of the Securities Act and the Exchange Act, and to furnish to such Holder a copy of the most recent annual or quarterly report of the Company, and such other reports and documents so filed by the Company as may be reasonably requested in availing such Holder of any rule or regulation of the Commission permitting the selling of any such Registrable Securities without registration and (iv) undertake any additional actions commercially reasonably necessary to maintain the availability of the use of Rule 144.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4" w:name="page75"/>
    <w:bookmarkEnd w:id="74"/>
    <w:p>
      <w:pPr>
        <w:jc w:val="both"/>
        <w:ind w:left="-20" w:firstLine="656"/>
        <w:spacing w:after="0" w:line="272" w:lineRule="auto"/>
        <w:tabs>
          <w:tab w:leader="none" w:pos="1332"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Independent Nature of Each Purchaser’s Obligations and Rights</w:t>
      </w:r>
      <w:r>
        <w:rPr>
          <w:rFonts w:ascii="Arial" w:cs="Arial" w:eastAsia="Arial" w:hAnsi="Arial"/>
          <w:sz w:val="17"/>
          <w:szCs w:val="17"/>
          <w:color w:val="auto"/>
        </w:rPr>
        <w:t>. The obligations of each Purchaser under this Agreement are several and not joint with the obligations of any other Purchaser, and each Purchaser shall not be responsible in any way for the performance of the obligations of any other Purchaser under this Agreement. Nothing contained herein and no action taken by any Purchaser pursuant hereto, shall be deemed to constitute such Purchasers as a partnership, an association, a joint venture, or any other kind of entity, or create a presumption that the Purchasers are in any way acting in concert or as a group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w:t>
      </w:r>
    </w:p>
    <w:p>
      <w:pPr>
        <w:spacing w:after="0" w:line="177" w:lineRule="exact"/>
        <w:rPr>
          <w:rFonts w:ascii="Arial" w:cs="Arial" w:eastAsia="Arial" w:hAnsi="Arial"/>
          <w:sz w:val="17"/>
          <w:szCs w:val="17"/>
          <w:color w:val="auto"/>
        </w:rPr>
      </w:pPr>
    </w:p>
    <w:p>
      <w:pPr>
        <w:jc w:val="both"/>
        <w:ind w:left="-20" w:firstLine="656"/>
        <w:spacing w:after="0" w:line="257" w:lineRule="auto"/>
        <w:tabs>
          <w:tab w:leader="none" w:pos="1299"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Other Registration Rights</w:t>
      </w:r>
      <w:r>
        <w:rPr>
          <w:rFonts w:ascii="Arial" w:cs="Arial" w:eastAsia="Arial" w:hAnsi="Arial"/>
          <w:sz w:val="18"/>
          <w:szCs w:val="18"/>
          <w:color w:val="auto"/>
        </w:rPr>
        <w:t>. The Company shall not grant any additional registration rights other than those contemplated herein without the consent of the Majority Holders prior to the effectiveness of the Registration Statement other than, in the case of the Company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on Form S-4 or Form F-4 in connection with a merger, acquisition, divestiture, reorganization or similar event.</w:t>
      </w:r>
    </w:p>
    <w:p>
      <w:pPr>
        <w:spacing w:after="0" w:line="188" w:lineRule="exact"/>
        <w:rPr>
          <w:rFonts w:ascii="Arial" w:cs="Arial" w:eastAsia="Arial" w:hAnsi="Arial"/>
          <w:sz w:val="18"/>
          <w:szCs w:val="18"/>
          <w:color w:val="auto"/>
        </w:rPr>
      </w:pPr>
    </w:p>
    <w:p>
      <w:pPr>
        <w:ind w:left="1260" w:hanging="624"/>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55" w:lineRule="auto"/>
        <w:tabs>
          <w:tab w:leader="none" w:pos="1953"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United States of America and the State of New York, both substantive and remedial, without regard to New York conflicts of law principles. Any judicial proceeding brought against either of the parties to this Agreement or any dispute arising out of this Agreement or any matter related hereto shall be brought in the courts of the State of New York, New York County, or in the United States District Court for the Southern District of New York and, by its execution and delivery of this Agreement, each party to this Agreement accepts the jurisdiction of such courts. The foregoing consent to jurisdiction shall not be deemed to confer rights on any person other than the parties to this Agreement.</w:t>
      </w:r>
    </w:p>
    <w:p>
      <w:pPr>
        <w:spacing w:after="0" w:line="193" w:lineRule="exact"/>
        <w:rPr>
          <w:rFonts w:ascii="Arial" w:cs="Arial" w:eastAsia="Arial" w:hAnsi="Arial"/>
          <w:sz w:val="18"/>
          <w:szCs w:val="18"/>
          <w:color w:val="auto"/>
        </w:rPr>
      </w:pPr>
    </w:p>
    <w:p>
      <w:pPr>
        <w:jc w:val="both"/>
        <w:ind w:left="-20" w:firstLine="1305"/>
        <w:spacing w:after="0" w:line="255" w:lineRule="auto"/>
        <w:tabs>
          <w:tab w:leader="none" w:pos="2017"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93" w:lineRule="exact"/>
        <w:rPr>
          <w:rFonts w:ascii="Arial" w:cs="Arial" w:eastAsia="Arial" w:hAnsi="Arial"/>
          <w:sz w:val="18"/>
          <w:szCs w:val="18"/>
          <w:color w:val="auto"/>
        </w:rPr>
      </w:pPr>
    </w:p>
    <w:p>
      <w:pPr>
        <w:ind w:left="-20" w:firstLine="1305"/>
        <w:spacing w:after="0" w:line="277" w:lineRule="auto"/>
        <w:tabs>
          <w:tab w:leader="none" w:pos="2021"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provisions hereof shall inure to the benefit of, and be binding upon, the successors, Permitted Assignees, executors and administrators of the parties hereto.</w:t>
      </w:r>
    </w:p>
    <w:p>
      <w:pPr>
        <w:spacing w:after="0" w:line="170" w:lineRule="exact"/>
        <w:rPr>
          <w:rFonts w:ascii="Arial" w:cs="Arial" w:eastAsia="Arial" w:hAnsi="Arial"/>
          <w:sz w:val="18"/>
          <w:szCs w:val="18"/>
          <w:color w:val="auto"/>
        </w:rPr>
      </w:pPr>
    </w:p>
    <w:p>
      <w:pPr>
        <w:jc w:val="both"/>
        <w:ind w:left="-20" w:firstLine="1305"/>
        <w:spacing w:after="0" w:line="264" w:lineRule="auto"/>
        <w:tabs>
          <w:tab w:leader="none" w:pos="2004"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Company has not entered, as of the date hereof, and shall not enter, on or after the date of this Agreement, into any agreement with respect to its securities that would have the effect of impairing the rights granted to the Holders in this Agreement or otherwise conflicts with the provisions 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75" w:name="page76"/>
    <w:bookmarkEnd w:id="75"/>
    <w:p>
      <w:pPr>
        <w:ind w:left="2000" w:hanging="695"/>
        <w:spacing w:after="0"/>
        <w:tabs>
          <w:tab w:leader="none" w:pos="20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full and entire understanding and agreement between the parties with regard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subjects hereof.</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034"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Notices, etc</w:t>
      </w:r>
      <w:r>
        <w:rPr>
          <w:rFonts w:ascii="Arial" w:cs="Arial" w:eastAsia="Arial" w:hAnsi="Arial"/>
          <w:sz w:val="18"/>
          <w:szCs w:val="18"/>
          <w:color w:val="auto"/>
        </w:rPr>
        <w:t>. All notices or other communications which are required or permitted under this Agreement shall be in writing and sufficient if delivered by hand, by facsimile transmission, by registered or certified mail, postage pre-paid, by electronic mail, or by courier or overnight carrier, to the persons at the addresses set forth below (or at such other address as may be provided hereunder), and shall be deemed to have been delivered as of the date so delivered: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Jacksonville, FL 32202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Mr. Glynn Wilson, Ph.D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gwilson@tapimmune.com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Shumaker, Loop &amp; Kendrick,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 E. Kennedy Blvd.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Tampa, FL 33602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Mark A. Catchur,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mcatchur@slk-law.com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Purchasers: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To each Purchaser at the address set forth on the signature page hereto or at such other address as any party shall have furnished to the other parties in writing.</w:t>
      </w:r>
    </w:p>
    <w:p>
      <w:pPr>
        <w:spacing w:after="0" w:line="170" w:lineRule="exact"/>
        <w:rPr>
          <w:sz w:val="20"/>
          <w:szCs w:val="20"/>
          <w:color w:val="auto"/>
        </w:rPr>
      </w:pPr>
    </w:p>
    <w:p>
      <w:pPr>
        <w:jc w:val="both"/>
        <w:ind w:firstLine="1305"/>
        <w:spacing w:after="0" w:line="272" w:lineRule="auto"/>
        <w:tabs>
          <w:tab w:leader="none" w:pos="2051"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Holder, upon any breach or default of the Company under this Agreement, shall impair any such right, power or remedy of such Holder nor shall it be construed to be a waiver of any such breach or default, or an acquiescence therein, or of any similar breach or default thereunder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All remedies, either under this Agreement, or by law or otherwise afforded to any holder, shall be cumulative and not alternative.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jc w:val="both"/>
        <w:ind w:firstLine="1305"/>
        <w:spacing w:after="0" w:line="279" w:lineRule="auto"/>
        <w:tabs>
          <w:tab w:leader="none" w:pos="2091"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shall be enforceable against the parties actually executing such counterparts, and all of which together shall constitute one instrument. In the event that any signature is delivered by facsimile transmission or electronic transmission via .PDF file, such signature shall create a valid and binding obligation of the party executing (or on whose behalf such signature is executed) with the same force and effect as if such facsimile or electronic signature page were an original thereof.</w:t>
      </w:r>
    </w:p>
    <w:p>
      <w:pPr>
        <w:spacing w:after="0" w:line="171" w:lineRule="exact"/>
        <w:rPr>
          <w:rFonts w:ascii="Arial" w:cs="Arial" w:eastAsia="Arial" w:hAnsi="Arial"/>
          <w:sz w:val="17"/>
          <w:szCs w:val="17"/>
          <w:color w:val="auto"/>
        </w:rPr>
      </w:pPr>
    </w:p>
    <w:p>
      <w:pPr>
        <w:ind w:right="20" w:firstLine="1305"/>
        <w:spacing w:after="0" w:line="277" w:lineRule="auto"/>
        <w:tabs>
          <w:tab w:leader="none" w:pos="213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case any provision of this Agreement shall be invalid, illegal or unenforceable, the validity, legality and enforceability of the remaining provisions shall not in any way be affected or impaired thereby.</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8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provisions of this Agreement may be amended at any time and from time to time, and particular provisions of this Agreement may be waived, with and only with an agreement or consent in writing signed by the Company and the Majority Holders. The Purchasers acknowledge that by the operation of this Section, the Majority Holders may have the right and power to diminish or eliminate all rights of the Purchasers under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left="480"/>
        <w:spacing w:after="0"/>
        <w:rPr>
          <w:sz w:val="20"/>
          <w:szCs w:val="20"/>
          <w:color w:val="auto"/>
        </w:rPr>
      </w:pPr>
      <w:r>
        <w:rPr>
          <w:rFonts w:ascii="Arial" w:cs="Arial" w:eastAsia="Arial" w:hAnsi="Arial"/>
          <w:sz w:val="18"/>
          <w:szCs w:val="18"/>
          <w:color w:val="auto"/>
        </w:rPr>
        <w:t>This Registration Rights Agreement is hereby executed as of the date first above written.</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AP</w:t>
      </w:r>
      <w:r>
        <w:rPr>
          <w:rFonts w:ascii="Arial" w:cs="Arial" w:eastAsia="Arial" w:hAnsi="Arial"/>
          <w:sz w:val="18"/>
          <w:szCs w:val="18"/>
          <w:b w:val="1"/>
          <w:bCs w:val="1"/>
          <w:color w:val="auto"/>
        </w:rPr>
        <w:t>I</w:t>
      </w:r>
      <w:r>
        <w:rPr>
          <w:rFonts w:ascii="Arial" w:cs="Arial" w:eastAsia="Arial" w:hAnsi="Arial"/>
          <w:sz w:val="12"/>
          <w:szCs w:val="12"/>
          <w:b w:val="1"/>
          <w:bCs w:val="1"/>
          <w:color w:val="auto"/>
        </w:rPr>
        <w:t>MMUNE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Name:</w:t>
        <w:tab/>
        <w:t>Glynn Wilson,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3956050</wp:posOffset>
            </wp:positionH>
            <wp:positionV relativeFrom="paragraph">
              <wp:posOffset>-130810</wp:posOffset>
            </wp:positionV>
            <wp:extent cx="31813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EACH PURCHASER’S SIGNATURE TO THE OMNIBUS SIGNATURE PAGE TO THE SUBSCRIPTION AGREEMENT DATED OF EVEN DATE HEREWITH SHALL CONSTITUTE THE PURCHASER’S SIGNATURE TO THIS REGISTRATION RIGHTS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420" w:top="908" w:right="41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EXERCISE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Warrant Exercise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June 21, 2017, is by and between TapImmune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undersigned holder (the “</w:t>
      </w:r>
      <w:r>
        <w:rPr>
          <w:rFonts w:ascii="Arial" w:cs="Arial" w:eastAsia="Arial" w:hAnsi="Arial"/>
          <w:sz w:val="17"/>
          <w:szCs w:val="17"/>
          <w:u w:val="single" w:color="auto"/>
          <w:color w:val="auto"/>
        </w:rPr>
        <w:t>Holder</w:t>
      </w:r>
      <w:r>
        <w:rPr>
          <w:rFonts w:ascii="Arial" w:cs="Arial" w:eastAsia="Arial" w:hAnsi="Arial"/>
          <w:sz w:val="17"/>
          <w:szCs w:val="17"/>
          <w:color w:val="auto"/>
        </w:rPr>
        <w:t>”) of that certain Series E Warrant to Purchase Common Stock issued by the Company to the Holder, which warrant is exercisable at an exercise price (the “</w:t>
      </w:r>
      <w:r>
        <w:rPr>
          <w:rFonts w:ascii="Arial" w:cs="Arial" w:eastAsia="Arial" w:hAnsi="Arial"/>
          <w:sz w:val="17"/>
          <w:szCs w:val="17"/>
          <w:u w:val="single" w:color="auto"/>
          <w:color w:val="auto"/>
        </w:rPr>
        <w:t>Series E Warrant Exercise Price</w:t>
      </w:r>
      <w:r>
        <w:rPr>
          <w:rFonts w:ascii="Arial" w:cs="Arial" w:eastAsia="Arial" w:hAnsi="Arial"/>
          <w:sz w:val="17"/>
          <w:szCs w:val="17"/>
          <w:color w:val="auto"/>
        </w:rPr>
        <w:t>”) of $15.00 per share (the “</w:t>
      </w:r>
      <w:r>
        <w:rPr>
          <w:rFonts w:ascii="Arial" w:cs="Arial" w:eastAsia="Arial" w:hAnsi="Arial"/>
          <w:sz w:val="17"/>
          <w:szCs w:val="17"/>
          <w:u w:val="single" w:color="auto"/>
          <w:color w:val="auto"/>
        </w:rPr>
        <w:t>Series E Warrant</w:t>
      </w:r>
      <w:r>
        <w:rPr>
          <w:rFonts w:ascii="Arial" w:cs="Arial" w:eastAsia="Arial" w:hAnsi="Arial"/>
          <w:sz w:val="17"/>
          <w:szCs w:val="17"/>
          <w:color w:val="auto"/>
        </w:rPr>
        <w:t>”).</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WHERAS, the Holder’s Series E Warrant is exercisable for a number of shares of common stock, par value $0.001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as set forth on such Holder’s signature page hereto (the “</w:t>
      </w:r>
      <w:r>
        <w:rPr>
          <w:rFonts w:ascii="Arial" w:cs="Arial" w:eastAsia="Arial" w:hAnsi="Arial"/>
          <w:sz w:val="18"/>
          <w:szCs w:val="18"/>
          <w:u w:val="single" w:color="auto"/>
          <w:color w:val="auto"/>
        </w:rPr>
        <w:t>Series E Warrant Shares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WHEREAS, the Holder wishes to partially exercise such Series E Warrant with respect to the number of Series E Warrant Shares which shall have an aggregate exercise price of approximately $333,333 as set forth on such Holder’s signature page hereto and, immediately prior to such exercise and in consideration of the Holder’s agreement to so exercise such Series E Warrant, the Company has agreed to reduce the Series E Warrant Exercise Price for such exercised portion of the Series E Warrant to $3.97 per share (the “</w:t>
      </w:r>
      <w:r>
        <w:rPr>
          <w:rFonts w:ascii="Arial" w:cs="Arial" w:eastAsia="Arial" w:hAnsi="Arial"/>
          <w:sz w:val="17"/>
          <w:szCs w:val="17"/>
          <w:u w:val="single" w:color="auto"/>
          <w:color w:val="auto"/>
        </w:rPr>
        <w:t>Revised Series E Warrant Exercise Price</w:t>
      </w:r>
      <w:r>
        <w:rPr>
          <w:rFonts w:ascii="Arial" w:cs="Arial" w:eastAsia="Arial" w:hAnsi="Arial"/>
          <w:sz w:val="17"/>
          <w:szCs w:val="17"/>
          <w:color w:val="auto"/>
        </w:rPr>
        <w:t>”); and</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WHEREAS, in further consideration of the foregoing, the Company and the Holder shall agree that (a) the exercise price of the Series E Warrant that remains outstanding following the partial exercise described above shall be reduced to $4.50 per share with respect to 75% of the Series E Warrant Shares as set forth on such Holder’s signature page hereof (each subject to adjustment for forward and reverse stock splits, recapitalizations, stock dividends and similar events); (b) the exercise price of the Series D Warrant to Purchase Common Stock issued by the Company to the Holder, which warrant is exercisable at an exercise price of $9.00 per share (the “</w:t>
      </w:r>
      <w:r>
        <w:rPr>
          <w:rFonts w:ascii="Arial" w:cs="Arial" w:eastAsia="Arial" w:hAnsi="Arial"/>
          <w:sz w:val="17"/>
          <w:szCs w:val="17"/>
          <w:u w:val="single" w:color="auto"/>
          <w:color w:val="auto"/>
        </w:rPr>
        <w:t>Series D Warrant</w:t>
      </w:r>
      <w:r>
        <w:rPr>
          <w:rFonts w:ascii="Arial" w:cs="Arial" w:eastAsia="Arial" w:hAnsi="Arial"/>
          <w:sz w:val="17"/>
          <w:szCs w:val="17"/>
          <w:color w:val="auto"/>
        </w:rPr>
        <w:t>”) shall be reduced to $4.00 per share with respect to 75% of the shares of Common Stock underlying the Series D Warrant (the “</w:t>
      </w:r>
      <w:r>
        <w:rPr>
          <w:rFonts w:ascii="Arial" w:cs="Arial" w:eastAsia="Arial" w:hAnsi="Arial"/>
          <w:sz w:val="17"/>
          <w:szCs w:val="17"/>
          <w:u w:val="single" w:color="auto"/>
          <w:color w:val="auto"/>
        </w:rPr>
        <w:t>Series D Warrant Shares</w:t>
      </w:r>
      <w:r>
        <w:rPr>
          <w:rFonts w:ascii="Arial" w:cs="Arial" w:eastAsia="Arial" w:hAnsi="Arial"/>
          <w:sz w:val="17"/>
          <w:szCs w:val="17"/>
          <w:color w:val="auto"/>
        </w:rPr>
        <w:t>”) as set forth on such Holder’s signature page hereof (each subject to adjustment for forward and reverse stock splits, recapitalizations, stock dividends and similar events); (c) the exercise price of the Series F Warrant to Purchase Common Stock issued by the Company to the Holder, which warrant is exercisable at an exercise price of $7.20 per share (the “</w:t>
      </w:r>
      <w:r>
        <w:rPr>
          <w:rFonts w:ascii="Arial" w:cs="Arial" w:eastAsia="Arial" w:hAnsi="Arial"/>
          <w:sz w:val="17"/>
          <w:szCs w:val="17"/>
          <w:u w:val="single" w:color="auto"/>
          <w:color w:val="auto"/>
        </w:rPr>
        <w:t>Series F Warrant</w:t>
      </w:r>
      <w:r>
        <w:rPr>
          <w:rFonts w:ascii="Arial" w:cs="Arial" w:eastAsia="Arial" w:hAnsi="Arial"/>
          <w:sz w:val="17"/>
          <w:szCs w:val="17"/>
          <w:color w:val="auto"/>
        </w:rPr>
        <w:t>”) shall be reduced to $4.00 per share with respect to 75% of the shares of Common Stock underlying the Series F Warrant (the “</w:t>
      </w:r>
      <w:r>
        <w:rPr>
          <w:rFonts w:ascii="Arial" w:cs="Arial" w:eastAsia="Arial" w:hAnsi="Arial"/>
          <w:sz w:val="17"/>
          <w:szCs w:val="17"/>
          <w:u w:val="single" w:color="auto"/>
          <w:color w:val="auto"/>
        </w:rPr>
        <w:t>Series F Warrant Shares</w:t>
      </w:r>
      <w:r>
        <w:rPr>
          <w:rFonts w:ascii="Arial" w:cs="Arial" w:eastAsia="Arial" w:hAnsi="Arial"/>
          <w:sz w:val="17"/>
          <w:szCs w:val="17"/>
          <w:color w:val="auto"/>
        </w:rPr>
        <w:t>”) as set forth on such Holder’s signature page hereof (each subject to adjustment for forward and reverse stock splits, recapitalizations, stock dividends and similar events); and (d) the exercise price of the Series C Warrant to Purchase Common Stock issued by the Company to the Holder, which warrant is exercisable at an exercise price of $6.00 per share (the “</w:t>
      </w:r>
      <w:r>
        <w:rPr>
          <w:rFonts w:ascii="Arial" w:cs="Arial" w:eastAsia="Arial" w:hAnsi="Arial"/>
          <w:sz w:val="17"/>
          <w:szCs w:val="17"/>
          <w:u w:val="single" w:color="auto"/>
          <w:color w:val="auto"/>
        </w:rPr>
        <w:t>Series C Warrant</w:t>
      </w:r>
      <w:r>
        <w:rPr>
          <w:rFonts w:ascii="Arial" w:cs="Arial" w:eastAsia="Arial" w:hAnsi="Arial"/>
          <w:sz w:val="17"/>
          <w:szCs w:val="17"/>
          <w:color w:val="auto"/>
        </w:rPr>
        <w:t>”) shall be reduced to $4.00 per with respect to 75% of the shares of Common Stock underlying the Series C Warrant (the “</w:t>
      </w:r>
      <w:r>
        <w:rPr>
          <w:rFonts w:ascii="Arial" w:cs="Arial" w:eastAsia="Arial" w:hAnsi="Arial"/>
          <w:sz w:val="17"/>
          <w:szCs w:val="17"/>
          <w:u w:val="single" w:color="auto"/>
          <w:color w:val="auto"/>
        </w:rPr>
        <w:t>Series C 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as set forth on such Holder’s signature page hereof (each subject to adjustment for forward and reverse stock splits, recapitalizations, stock dividends and similar events);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good and valuable consideration the receipt and adequacy of which are hereby acknowledged, the Holder and the Company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not defined in this Agreement shall have the meanings ascribed to such terms in the Series E Warrant.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REDUCTION OF EXERCISE PRICES OF WARRANTS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Exercise of Series E Warrant</w:t>
      </w:r>
      <w:r>
        <w:rPr>
          <w:rFonts w:ascii="Arial" w:cs="Arial" w:eastAsia="Arial" w:hAnsi="Arial"/>
          <w:sz w:val="18"/>
          <w:szCs w:val="18"/>
          <w:color w:val="auto"/>
        </w:rPr>
        <w:t>. The Company and the Holder hereby agree that the Series E Warrant Exercise Price shall be reduced to the Revised Series E Warrant Exercise Price with respect to the number of Series E Warrant Shares which shall have an aggregate exercise price of approximately $333,333 as set forth on such Holder’s signature page hereto and the Holder shall partially exercise the Series E Warrant for the number of Series E Warrant Shares underlying such Holder’s Series E Warrant at the Revised Exercise Price per share, for aggregate cash proceeds to the Company in the amount set forth on the Holder’s signature page hereto, pursuant to the terms of the Series E Warrant. Holder shall execute and deliver the aggregate cash exercise price for such Series E Warrant to the bank account set forth on the Company’s signature page hereto and the Company shall deliver the Series E Warrant Shares to the Holder via the Depository Trust Company Deposit or Withdrawal at Custodian system pursuant to the instructions set forth on the Holder’s signature page hereto.</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Reduction of Exercise Prices for 75% of Remaining Series E Warrant, Series D Warrant, Series F Warrant and Series C Warrant</w:t>
      </w:r>
      <w:r>
        <w:rPr>
          <w:rFonts w:ascii="Arial" w:cs="Arial" w:eastAsia="Arial" w:hAnsi="Arial"/>
          <w:sz w:val="18"/>
          <w:szCs w:val="18"/>
          <w:color w:val="auto"/>
        </w:rPr>
        <w:t>. The Company and the Holder hereby agree that:</w:t>
      </w:r>
    </w:p>
    <w:p>
      <w:pPr>
        <w:spacing w:after="0" w:line="170" w:lineRule="exact"/>
        <w:rPr>
          <w:sz w:val="20"/>
          <w:szCs w:val="20"/>
          <w:color w:val="auto"/>
        </w:rPr>
      </w:pPr>
    </w:p>
    <w:p>
      <w:pPr>
        <w:jc w:val="both"/>
        <w:ind w:firstLine="656"/>
        <w:spacing w:after="0" w:line="264" w:lineRule="auto"/>
        <w:tabs>
          <w:tab w:leader="none" w:pos="9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of the Series E Warrant that remains outstanding following the partial exercise described above shall be reduced to $4.50 per share with respect to the number of Series E Warrant Shares as set forth on such Holder’s signature page hereof (each subject to adjustment for forward and reverse stock splits, recapitalizations, stock dividends and similar events);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of the Series D Warrant, which warrant is exercisable at an exercise price of $9.00 per share, shall be reduced to $4.00 per share with respect to the number of Series D Warrant Shares as set forth on such Holder’s signature page hereof (each subject to adjustment for forward and reverse stock splits, recapitalizations, stock dividends and similar events);</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of the Series F Warrant, which warrant is exercisable at an exercise price of $7.20 per share, shall be reduced to $4.00 per share with respect to the number of Series F Warrant Shares as set forth on such Holder’s signature page hereof (each subject to adjustment for forward and reverse stock splits, recapitalizations, stock dividends and similar events); and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90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of the Series C Warrant, which warrant is exercisable at an exercise price of $6.00 per share, shall be reduced to $4.00 per with respect to the number of Series C Warrant Shares as set forth on such Holder’s signature page hereof (each subject to adjustment for forward and reverse stock splits, recapitalizations, stock dividends and similar events).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Filing of Form 8-K and Prospectus Supplement</w:t>
      </w:r>
      <w:r>
        <w:rPr>
          <w:rFonts w:ascii="Arial" w:cs="Arial" w:eastAsia="Arial" w:hAnsi="Arial"/>
          <w:sz w:val="18"/>
          <w:szCs w:val="18"/>
          <w:color w:val="auto"/>
        </w:rPr>
        <w:t>. On or before 9:00 a.m., New York time, on the first (1st) Business Day following the execution of this Agreement by the Company and the Holder, the Company shall file a Current Report on Form 8-K, including the form of this Agreement (the “</w:t>
      </w:r>
      <w:r>
        <w:rPr>
          <w:rFonts w:ascii="Arial" w:cs="Arial" w:eastAsia="Arial" w:hAnsi="Arial"/>
          <w:sz w:val="18"/>
          <w:szCs w:val="18"/>
          <w:u w:val="single" w:color="auto"/>
          <w:color w:val="auto"/>
        </w:rPr>
        <w:t>8-K Filing</w:t>
      </w:r>
      <w:r>
        <w:rPr>
          <w:rFonts w:ascii="Arial" w:cs="Arial" w:eastAsia="Arial" w:hAnsi="Arial"/>
          <w:sz w:val="18"/>
          <w:szCs w:val="18"/>
          <w:color w:val="auto"/>
        </w:rPr>
        <w:t>”), with the Securities and Exchange Commission (“</w:t>
      </w:r>
      <w:r>
        <w:rPr>
          <w:rFonts w:ascii="Arial" w:cs="Arial" w:eastAsia="Arial" w:hAnsi="Arial"/>
          <w:sz w:val="18"/>
          <w:szCs w:val="18"/>
          <w:u w:val="single" w:color="auto"/>
          <w:color w:val="auto"/>
        </w:rPr>
        <w:t>Commission</w:t>
      </w:r>
      <w:r>
        <w:rPr>
          <w:rFonts w:ascii="Arial" w:cs="Arial" w:eastAsia="Arial" w:hAnsi="Arial"/>
          <w:sz w:val="18"/>
          <w:szCs w:val="18"/>
          <w:color w:val="auto"/>
        </w:rPr>
        <w:t>”) in the form required by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From and after the 8-K Filing, the Company represents to the Holder that it shall have publicly disclosed all material, non-public information delivered to the Holder by the Company, or any of their respective officers, directors, employees or agents. In addition, effective upon the 8-K Filing, the Company acknowledges and agrees that any and all confidentiality or similar obligations under any agreement, whether written or oral, between the Company or any of their respective officers, directors, agents, employees or affiliates on the one hand, and the Holder or any of its affiliates on the other hand, shall terminate.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makes the representations and warranties set forth below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that as of the date of its execution of this Agreement:</w:t>
      </w:r>
    </w:p>
    <w:p>
      <w:pPr>
        <w:spacing w:after="0" w:line="211" w:lineRule="exact"/>
        <w:rPr>
          <w:sz w:val="20"/>
          <w:szCs w:val="20"/>
          <w:color w:val="auto"/>
        </w:rPr>
      </w:pPr>
    </w:p>
    <w:p>
      <w:pPr>
        <w:ind w:left="1680" w:hanging="259"/>
        <w:spacing w:after="0"/>
        <w:tabs>
          <w:tab w:leader="none" w:pos="168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The Company is a duly organized and validly existing corporation in good standing under the laws of the State of</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Nevada.</w:t>
      </w:r>
    </w:p>
    <w:p>
      <w:pPr>
        <w:spacing w:after="0" w:line="210" w:lineRule="exact"/>
        <w:rPr>
          <w:rFonts w:ascii="Arial" w:cs="Arial" w:eastAsia="Arial" w:hAnsi="Arial"/>
          <w:sz w:val="17"/>
          <w:szCs w:val="17"/>
          <w:color w:val="auto"/>
        </w:rPr>
      </w:pPr>
    </w:p>
    <w:p>
      <w:pPr>
        <w:jc w:val="both"/>
        <w:ind w:left="980" w:firstLine="441"/>
        <w:spacing w:after="0" w:line="289" w:lineRule="auto"/>
        <w:tabs>
          <w:tab w:leader="none" w:pos="1703"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xml:space="preserve"> 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have been duly authorized by all necessary action on the part of such Company and no further action is required by such Company, its board of directors or its stockholders in connection therewith.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66" w:lineRule="exact"/>
        <w:rPr>
          <w:rFonts w:ascii="Arial" w:cs="Arial" w:eastAsia="Arial" w:hAnsi="Arial"/>
          <w:sz w:val="16"/>
          <w:szCs w:val="16"/>
          <w:color w:val="auto"/>
        </w:rPr>
      </w:pPr>
    </w:p>
    <w:p>
      <w:pPr>
        <w:jc w:val="both"/>
        <w:ind w:left="980" w:firstLine="441"/>
        <w:spacing w:after="0" w:line="289" w:lineRule="auto"/>
        <w:tabs>
          <w:tab w:leader="none" w:pos="166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by the Company and the consummation by the Company of the transactions contemplated hereby do not and will not: (i) conflict with or violate any provision of the Company’s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Company debt or otherwise) or other understanding to which the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w:t>
      </w:r>
    </w:p>
    <w:p>
      <w:pPr>
        <w:spacing w:after="0" w:line="166" w:lineRule="exact"/>
        <w:rPr>
          <w:rFonts w:ascii="Arial" w:cs="Arial" w:eastAsia="Arial" w:hAnsi="Arial"/>
          <w:sz w:val="16"/>
          <w:szCs w:val="16"/>
          <w:color w:val="auto"/>
        </w:rPr>
      </w:pPr>
    </w:p>
    <w:p>
      <w:pPr>
        <w:jc w:val="both"/>
        <w:ind w:left="980" w:firstLine="441"/>
        <w:spacing w:after="0" w:line="285" w:lineRule="auto"/>
        <w:tabs>
          <w:tab w:leader="none" w:pos="1676"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Issuance of Series E Warrant Shares; Registration Statement</w:t>
      </w:r>
      <w:r>
        <w:rPr>
          <w:rFonts w:ascii="Arial" w:cs="Arial" w:eastAsia="Arial" w:hAnsi="Arial"/>
          <w:sz w:val="16"/>
          <w:szCs w:val="16"/>
          <w:color w:val="auto"/>
        </w:rPr>
        <w:t>. The Series E Warrant Shares are duly authorized and, when issued and paid for in accordance with the terms of the Series E Warrants (as amended hereby), will be duly and validly issued, fully paid and nonassessable, free and clear of all liens imposed by the Company. The Company has prepared and filed a registration statement on Form S-3, File No. 333-215258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 conformity with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which became effective on January 18, 2017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therein (“</w:t>
      </w:r>
      <w:r>
        <w:rPr>
          <w:rFonts w:ascii="Arial" w:cs="Arial" w:eastAsia="Arial" w:hAnsi="Arial"/>
          <w:sz w:val="16"/>
          <w:szCs w:val="16"/>
          <w:u w:val="single" w:color="auto"/>
          <w:color w:val="auto"/>
        </w:rPr>
        <w:t>Prospectus</w:t>
      </w:r>
      <w:r>
        <w:rPr>
          <w:rFonts w:ascii="Arial" w:cs="Arial" w:eastAsia="Arial" w:hAnsi="Arial"/>
          <w:sz w:val="16"/>
          <w:szCs w:val="16"/>
          <w:color w:val="auto"/>
        </w:rPr>
        <w:t>”), and such amendments and supplements thereto as may have been required to the date of this Agreement. The 8-K Filing shall be incorporated by reference into the Registration Statement, thereby updating the Prospectus included therein. The Series E Warrant Shares are registered for issuance and resale by the Holder on the Registration Statement and the Company knows of no reasons why such Registration Statement shall not remain available for the issuance and resale of such Series E Warrant Shares for the foreseeable future. The Company shall use its reasonable best efforts to keep the Registration Statement effective and available for use by the Holder until all Series E Warrant Shares are sold by the Holder.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Securities and Exchange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At the time the Registration Statement and any amendments thereto became effective and at the date of this Agreement,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as of the date hereof,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both"/>
        <w:ind w:left="980" w:firstLine="441"/>
        <w:spacing w:after="0" w:line="269" w:lineRule="auto"/>
        <w:tabs>
          <w:tab w:leader="none" w:pos="1666"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this Agreement and the other information set forth in the 8-K Filing, the Company confirms that neither it nor any other person acting on its behalf has provided any of Holder or their agents or counsel with any information that it believes constitutes or might constitute material, non-public information. The Company understands and confirms that the Holder will rely on the foregoing representation in effecting transactions in securities of the Company. All of the disclosure furnished by or on behalf of the Company to the Holder regarding the Company and its subsidiaries, their respective businesses and the transactions contemplated hereby, including but not limited to the disclosure set forth in the SEC Reports, is true and correct and does not contain any untrue statement of a material fact or omit to state any material fact necessary in order to make the statements made therein, in light of the circumstances under which they were made, not misleading. As used herein, “</w:t>
      </w:r>
      <w:r>
        <w:rPr>
          <w:rFonts w:ascii="Arial" w:cs="Arial" w:eastAsia="Arial" w:hAnsi="Arial"/>
          <w:sz w:val="17"/>
          <w:szCs w:val="17"/>
          <w:u w:val="single" w:color="auto"/>
          <w:color w:val="auto"/>
        </w:rPr>
        <w:t>SEC Reports</w:t>
      </w:r>
      <w:r>
        <w:rPr>
          <w:rFonts w:ascii="Arial" w:cs="Arial" w:eastAsia="Arial" w:hAnsi="Arial"/>
          <w:sz w:val="17"/>
          <w:szCs w:val="17"/>
          <w:color w:val="auto"/>
        </w:rPr>
        <w:t>” means all reports, schedules, forms, statements and other documents required to be filed by the Company with the Commission pursuant to the reporting requirements of the 1934 Act, including all exhibits included therein and financial statements, notes and schedules thereto and documents incorporated by reference therein.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Representations and Warranties of the Holder</w:t>
      </w:r>
      <w:r>
        <w:rPr>
          <w:rFonts w:ascii="Arial" w:cs="Arial" w:eastAsia="Arial" w:hAnsi="Arial"/>
          <w:sz w:val="17"/>
          <w:szCs w:val="17"/>
          <w:color w:val="auto"/>
        </w:rPr>
        <w:t>. The Holder hereby makes the representations and warranties set forth below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that as of the date of its execution of this Agreement:</w:t>
      </w:r>
    </w:p>
    <w:p>
      <w:pPr>
        <w:spacing w:after="0" w:line="211" w:lineRule="exact"/>
        <w:rPr>
          <w:sz w:val="20"/>
          <w:szCs w:val="20"/>
          <w:color w:val="auto"/>
        </w:rPr>
      </w:pPr>
    </w:p>
    <w:p>
      <w:pPr>
        <w:jc w:val="both"/>
        <w:ind w:left="980" w:firstLine="441"/>
        <w:spacing w:after="0" w:line="259" w:lineRule="auto"/>
        <w:tabs>
          <w:tab w:leader="none" w:pos="170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The Holder represents and warrants that (i) the execution and delivery of this Agreement by it and the consummation by it of the transactions contemplated hereby have been duly authorized by all necessary action on its behalf and (ii) this Agreement has been duly executed and delivered by the Holder and constitutes the valid and binding obligation of the Holder, enforceable against it in accordance with its terms.</w:t>
      </w:r>
    </w:p>
    <w:p>
      <w:pPr>
        <w:spacing w:after="0" w:line="186" w:lineRule="exact"/>
        <w:rPr>
          <w:rFonts w:ascii="Arial" w:cs="Arial" w:eastAsia="Arial" w:hAnsi="Arial"/>
          <w:sz w:val="18"/>
          <w:szCs w:val="18"/>
          <w:color w:val="auto"/>
        </w:rPr>
      </w:pPr>
    </w:p>
    <w:p>
      <w:pPr>
        <w:jc w:val="both"/>
        <w:ind w:left="980" w:firstLine="441"/>
        <w:spacing w:after="0" w:line="257" w:lineRule="auto"/>
        <w:tabs>
          <w:tab w:leader="none" w:pos="167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by the Holder and the consummation by the Holder of the transactions contemplated hereby do not and will not: (i) conflict with or violate any provision of the Holder’s organizational or charter documents, or (ii) conflict with or result in a violation of any agreement, law, rule, regulation, order, judgment, injunction, decree or other restriction of any court or governmental authority which would interfere with the ability of the Holder to perform its obligations under this Agreement.</w:t>
      </w:r>
    </w:p>
    <w:p>
      <w:pPr>
        <w:spacing w:after="0" w:line="188" w:lineRule="exact"/>
        <w:rPr>
          <w:rFonts w:ascii="Arial" w:cs="Arial" w:eastAsia="Arial" w:hAnsi="Arial"/>
          <w:sz w:val="18"/>
          <w:szCs w:val="18"/>
          <w:color w:val="auto"/>
        </w:rPr>
      </w:pPr>
    </w:p>
    <w:p>
      <w:pPr>
        <w:jc w:val="both"/>
        <w:ind w:left="980" w:firstLine="441"/>
        <w:spacing w:after="0" w:line="255" w:lineRule="auto"/>
        <w:tabs>
          <w:tab w:leader="none" w:pos="166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Access to Information</w:t>
      </w:r>
      <w:r>
        <w:rPr>
          <w:rFonts w:ascii="Arial" w:cs="Arial" w:eastAsia="Arial" w:hAnsi="Arial"/>
          <w:sz w:val="18"/>
          <w:szCs w:val="18"/>
          <w:color w:val="auto"/>
        </w:rPr>
        <w:t>. Such Holder acknowledges that it has had the opportunity to review the reports filed by the Company with the Commission and has been afforded (i) the opportunity to ask such questions as it has deemed necessary of, and to receive answers from, representatives of the Company concerning the terms and conditions of the exercise of the Series E Warrants and the merits and risks of investing in the Series E Warrant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9" w:lineRule="exact"/>
        <w:rPr>
          <w:rFonts w:ascii="Arial" w:cs="Arial" w:eastAsia="Arial" w:hAnsi="Arial"/>
          <w:sz w:val="18"/>
          <w:szCs w:val="18"/>
          <w:color w:val="auto"/>
        </w:rPr>
      </w:pPr>
    </w:p>
    <w:p>
      <w:pPr>
        <w:ind w:left="1680" w:hanging="259"/>
        <w:spacing w:after="0"/>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Holder Status</w:t>
      </w:r>
      <w:r>
        <w:rPr>
          <w:rFonts w:ascii="Arial" w:cs="Arial" w:eastAsia="Arial" w:hAnsi="Arial"/>
          <w:sz w:val="18"/>
          <w:szCs w:val="18"/>
          <w:color w:val="auto"/>
        </w:rPr>
        <w:t>. The Holder is an “accredited investor” as defined in Rule 501 under the Securities Act.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left="980" w:firstLine="441"/>
        <w:spacing w:after="0" w:line="257" w:lineRule="auto"/>
        <w:tabs>
          <w:tab w:leader="none" w:pos="167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Understandings or Arrangements</w:t>
      </w:r>
      <w:r>
        <w:rPr>
          <w:rFonts w:ascii="Arial" w:cs="Arial" w:eastAsia="Arial" w:hAnsi="Arial"/>
          <w:sz w:val="18"/>
          <w:szCs w:val="18"/>
          <w:color w:val="auto"/>
        </w:rPr>
        <w:t>. Such Holder is acquiring the Series E Warrant Shares as principal for its own account and has no direct or indirect arrangement or understandings with any other persons to distribute or regarding the distribution of such Series E Warrant Shares (this representation and warranty not limiting such Holder’s right to sell the Series E Warrant Shares pursuant to the Registration Statement or otherwise in compliance with applicable federal and state securities laws). Such Holder is acquiring the Series E Warrant Shares hereunder in the ordinary course of its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Short Sales</w:t>
      </w:r>
      <w:r>
        <w:rPr>
          <w:rFonts w:ascii="Arial" w:cs="Arial" w:eastAsia="Arial" w:hAnsi="Arial"/>
          <w:sz w:val="18"/>
          <w:szCs w:val="18"/>
          <w:color w:val="auto"/>
        </w:rPr>
        <w:t>. After the date hereof, the Holder covenants that neither it nor any affiliates acting on its behalf or pursuant to any understanding with it will execute any Short Sales (as defined below) during the period from the date hereof until the one year anniversary of the date of this Agreement. “Short Sales” means all “short sales” as defined in Rule 200 of Regulation SHO under the Exchange Act (but shall not be deemed to include the location and/or reservation of borrowable shares of Common Stock).</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Other Holders</w:t>
      </w:r>
      <w:r>
        <w:rPr>
          <w:rFonts w:ascii="Arial" w:cs="Arial" w:eastAsia="Arial" w:hAnsi="Arial"/>
          <w:sz w:val="17"/>
          <w:szCs w:val="17"/>
          <w:color w:val="auto"/>
        </w:rPr>
        <w:t>. The Company acknowledges and agrees that the obligations of the Holder under this Agreement are several and not joint with the obligations of any other holder of any other holders of the Series E Warrants, Series D Warrants, Series F Warrants, Series C Warrants, Series E-1 Warrants, Series D-1 Warrants, Series F-1 Warrants and Series C-1 Warrants of the Company (each, an “</w:t>
      </w:r>
      <w:r>
        <w:rPr>
          <w:rFonts w:ascii="Arial" w:cs="Arial" w:eastAsia="Arial" w:hAnsi="Arial"/>
          <w:sz w:val="17"/>
          <w:szCs w:val="17"/>
          <w:u w:val="single" w:color="auto"/>
          <w:color w:val="auto"/>
        </w:rPr>
        <w:t>Other Holder</w:t>
      </w:r>
      <w:r>
        <w:rPr>
          <w:rFonts w:ascii="Arial" w:cs="Arial" w:eastAsia="Arial" w:hAnsi="Arial"/>
          <w:sz w:val="17"/>
          <w:szCs w:val="17"/>
          <w:color w:val="auto"/>
        </w:rPr>
        <w:t>”) under any other agreement related to the exercise of such warrants (“</w:t>
      </w:r>
      <w:r>
        <w:rPr>
          <w:rFonts w:ascii="Arial" w:cs="Arial" w:eastAsia="Arial" w:hAnsi="Arial"/>
          <w:sz w:val="17"/>
          <w:szCs w:val="17"/>
          <w:u w:val="single" w:color="auto"/>
          <w:color w:val="auto"/>
        </w:rPr>
        <w:t>Other Warrant Exercise Agreement</w:t>
      </w:r>
      <w:r>
        <w:rPr>
          <w:rFonts w:ascii="Arial" w:cs="Arial" w:eastAsia="Arial" w:hAnsi="Arial"/>
          <w:sz w:val="17"/>
          <w:szCs w:val="17"/>
          <w:color w:val="auto"/>
        </w:rPr>
        <w:t>”), and the Holder shall not be responsible in any way for the performance of the obligations of any Other Holder or under any such Other Warrant Exercise Agreement. Nothing contained in this Agreement, and no action taken by the Holder pursuant hereto, shall be deemed to constitute the Holder and the Other Holders as a partnership, an association, a joint venture or any other kind of entity, or create a presumption that the Holder and the Other Holders are in any way acting in concert or as a group with respect to such obligations or the transactions contemplated by this Agreement and the Company acknowledges that the Holder and the Other Holders are not acting in concert or as a group with respect to such obligations or the transactions contemplated by this Agreement or any Other Warrant Exercise Agreement. The Company and the Holder confirm that the Holder has independently participated in the negotiation of the transactions contemplated hereby with the advice of its own counsel and advisors. The Holder shall be entitled to independently protect and enforce their rights, including, without limitation, the rights arising out of this Agreement, and it shall not be necessary for any Other Holder to be joined as an additional party in any proceeding for such purpose. The Company hereby represents and warrants as of the date hereof and covenants and agrees from and after the date hereof that none of the terms offered to any Other Holder with respect to any Other Warrant Exercise Agreement (or any amendment, modification or waiver thereof), is or will be more favorable to such Other Holder than those of the Holder pursuant to this Agreement.</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required or permitted to be provided hereunder shall be made in accordance with Section 8 of the Series E Warrant.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Survival</w:t>
      </w:r>
      <w:r>
        <w:rPr>
          <w:rFonts w:ascii="Arial" w:cs="Arial" w:eastAsia="Arial" w:hAnsi="Arial"/>
          <w:sz w:val="18"/>
          <w:szCs w:val="18"/>
          <w:color w:val="auto"/>
        </w:rPr>
        <w:t>. All representations and warranties (as of the date such representations and warranties were made) made herein or in any certificate or other instrument delivered by it or on its behalf under this Agreement shall be considered to have been relied upon by the parties hereto and shall survive the issuance of the Series E Warrant Shares. This Agreement shall inure to the benefit of and be binding upon the successors and permitted assigns of each of the parties; provided however that no party may assign this Agreement or the obligations and rights of such party hereunder without the prior written consent of the other parties 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jc w:val="both"/>
        <w:ind w:firstLine="648"/>
        <w:spacing w:after="0" w:line="25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Governing Law</w:t>
      </w:r>
      <w:r>
        <w:rPr>
          <w:rFonts w:ascii="Arial" w:cs="Arial" w:eastAsia="Arial" w:hAnsi="Arial"/>
          <w:sz w:val="18"/>
          <w:szCs w:val="18"/>
          <w:color w:val="auto"/>
        </w:rPr>
        <w:t>. All questions concerning the construction, validity, enforcement and interpretation of this Agreement shall be determined pursuant to Section 11 of the Series E Warrant.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Agreement,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Construction</w:t>
      </w:r>
      <w:r>
        <w:rPr>
          <w:rFonts w:ascii="Arial" w:cs="Arial" w:eastAsia="Arial" w:hAnsi="Arial"/>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Effectiveness</w:t>
      </w:r>
      <w:r>
        <w:rPr>
          <w:rFonts w:ascii="Arial" w:cs="Arial" w:eastAsia="Arial" w:hAnsi="Arial"/>
          <w:sz w:val="17"/>
          <w:szCs w:val="17"/>
          <w:color w:val="auto"/>
        </w:rPr>
        <w:t>. This Agreement shall be effective only upon the Company returning a fully-executed copy of this Agreement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pay the reasonable legal fees of Holder in connection with the transactions contemplated hereby not to exceed $20,000 in the aggregate for Iroquois Master Fund Ltd, American Capital Management LLC, the Merav Abbe Irrevocable Trust, the Samantha Abbe Irrevocable Trust, the Talia Abbe Irrevocable Trust, and the Bennett Abbe Irrevocable Trust.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to Follow]</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signatories as of the date first indicated above.</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Glynn Wilson</w:t>
      </w:r>
    </w:p>
    <w:p>
      <w:pPr>
        <w:spacing w:after="0" w:line="3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Glynn Wilson,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-130175</wp:posOffset>
            </wp:positionV>
            <wp:extent cx="34905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Warrant Exercise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color w:val="auto"/>
        </w:rPr>
        <w:t>[HOLDER SIGNATURE PAGES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 EXERCISE AGREEMENT]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Holder: 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Holder</w:t>
      </w:r>
      <w:r>
        <w:rPr>
          <w:rFonts w:ascii="Arial" w:cs="Arial" w:eastAsia="Arial" w:hAnsi="Arial"/>
          <w:sz w:val="18"/>
          <w:szCs w:val="18"/>
          <w:color w:val="auto"/>
        </w:rPr>
        <w:t>: 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Series E Warrant Shares Underlying Series E Warrant: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Revised Series E Warrant Exercise Price: $3.97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to be Paid: $_________</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Number of Series E Warrant Shares to be Issued Upon Exercise: _________</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DWAC Instructions for Series E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Reduction of Exercise Prices for 75% of Each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Remaining Series E Warrant Shares at Reduced Exercise Price of $4.50 per Share: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D Warrant Shares at Reduced Exercise Price of $4.00 per Share: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F Warrant Shares at Reduced Exercise Price of $4.00 per Share: 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Series C Warrant Shares at Reduced Exercise Price of $4.00 per Share: _________</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Warrant Exercise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KATALYST SECURITIES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630 THIRD AVENUE, 5TH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212-400-6993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Member: FINRA &amp; SIPC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AGENCY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12, 2017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FINAL FOR EXECUTION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 North Laura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 32202</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Private placement offering of TapImmune Inc.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Wilson: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Placement Agency Agreement (“</w:t>
      </w:r>
      <w:r>
        <w:rPr>
          <w:rFonts w:ascii="Arial" w:cs="Arial" w:eastAsia="Arial" w:hAnsi="Arial"/>
          <w:sz w:val="17"/>
          <w:szCs w:val="17"/>
          <w:i w:val="1"/>
          <w:iCs w:val="1"/>
          <w:color w:val="auto"/>
        </w:rPr>
        <w:t>Agreement</w:t>
      </w:r>
      <w:r>
        <w:rPr>
          <w:rFonts w:ascii="Arial" w:cs="Arial" w:eastAsia="Arial" w:hAnsi="Arial"/>
          <w:sz w:val="17"/>
          <w:szCs w:val="17"/>
          <w:color w:val="auto"/>
        </w:rPr>
        <w:t>”) sets forth the terms upon which Katalyst Securities LLC (“</w:t>
      </w:r>
      <w:r>
        <w:rPr>
          <w:rFonts w:ascii="Arial" w:cs="Arial" w:eastAsia="Arial" w:hAnsi="Arial"/>
          <w:sz w:val="17"/>
          <w:szCs w:val="17"/>
          <w:i w:val="1"/>
          <w:iCs w:val="1"/>
          <w:color w:val="auto"/>
        </w:rPr>
        <w:t>Katalyst</w:t>
      </w:r>
      <w:r>
        <w:rPr>
          <w:rFonts w:ascii="Arial" w:cs="Arial" w:eastAsia="Arial" w:hAnsi="Arial"/>
          <w:sz w:val="17"/>
          <w:szCs w:val="17"/>
          <w:color w:val="auto"/>
        </w:rPr>
        <w:t>”), registered broker-dealer and member of the Financial Industry Regulatory Authority (“</w:t>
      </w:r>
      <w:r>
        <w:rPr>
          <w:rFonts w:ascii="Arial" w:cs="Arial" w:eastAsia="Arial" w:hAnsi="Arial"/>
          <w:sz w:val="17"/>
          <w:szCs w:val="17"/>
          <w:i w:val="1"/>
          <w:iCs w:val="1"/>
          <w:color w:val="auto"/>
        </w:rPr>
        <w:t>FINRA</w:t>
      </w:r>
      <w:r>
        <w:rPr>
          <w:rFonts w:ascii="Arial" w:cs="Arial" w:eastAsia="Arial" w:hAnsi="Arial"/>
          <w:sz w:val="17"/>
          <w:szCs w:val="17"/>
          <w:color w:val="auto"/>
        </w:rPr>
        <w:t>”) (hereinafter referred to as the “</w:t>
      </w:r>
      <w:r>
        <w:rPr>
          <w:rFonts w:ascii="Arial" w:cs="Arial" w:eastAsia="Arial" w:hAnsi="Arial"/>
          <w:sz w:val="17"/>
          <w:szCs w:val="17"/>
          <w:i w:val="1"/>
          <w:iCs w:val="1"/>
          <w:color w:val="auto"/>
        </w:rPr>
        <w:t>Agent</w:t>
      </w:r>
      <w:r>
        <w:rPr>
          <w:rFonts w:ascii="Arial" w:cs="Arial" w:eastAsia="Arial" w:hAnsi="Arial"/>
          <w:sz w:val="17"/>
          <w:szCs w:val="17"/>
          <w:color w:val="auto"/>
        </w:rPr>
        <w:t>”), shall be engaged by TapImmune Inc., a publicly traded Nevada corporation (hereinafter referred to as the “</w:t>
      </w:r>
      <w:r>
        <w:rPr>
          <w:rFonts w:ascii="Arial" w:cs="Arial" w:eastAsia="Arial" w:hAnsi="Arial"/>
          <w:sz w:val="17"/>
          <w:szCs w:val="17"/>
          <w:i w:val="1"/>
          <w:iCs w:val="1"/>
          <w:color w:val="auto"/>
        </w:rPr>
        <w:t>Company</w:t>
      </w:r>
      <w:r>
        <w:rPr>
          <w:rFonts w:ascii="Arial" w:cs="Arial" w:eastAsia="Arial" w:hAnsi="Arial"/>
          <w:sz w:val="17"/>
          <w:szCs w:val="17"/>
          <w:color w:val="auto"/>
        </w:rPr>
        <w:t>”), to act as the exclusive Placement Agent in connection with the private placement (the “</w:t>
      </w:r>
      <w:r>
        <w:rPr>
          <w:rFonts w:ascii="Arial" w:cs="Arial" w:eastAsia="Arial" w:hAnsi="Arial"/>
          <w:sz w:val="17"/>
          <w:szCs w:val="17"/>
          <w:i w:val="1"/>
          <w:iCs w:val="1"/>
          <w:color w:val="auto"/>
        </w:rPr>
        <w:t>Offering</w:t>
      </w:r>
      <w:r>
        <w:rPr>
          <w:rFonts w:ascii="Arial" w:cs="Arial" w:eastAsia="Arial" w:hAnsi="Arial"/>
          <w:sz w:val="17"/>
          <w:szCs w:val="17"/>
          <w:color w:val="auto"/>
        </w:rPr>
        <w:t>”) of the securities of the Company referred to below (the “</w:t>
      </w:r>
      <w:r>
        <w:rPr>
          <w:rFonts w:ascii="Arial" w:cs="Arial" w:eastAsia="Arial" w:hAnsi="Arial"/>
          <w:sz w:val="17"/>
          <w:szCs w:val="17"/>
          <w:i w:val="1"/>
          <w:iCs w:val="1"/>
          <w:color w:val="auto"/>
        </w:rPr>
        <w:t>Securities</w:t>
      </w:r>
      <w:r>
        <w:rPr>
          <w:rFonts w:ascii="Arial" w:cs="Arial" w:eastAsia="Arial" w:hAnsi="Arial"/>
          <w:sz w:val="17"/>
          <w:szCs w:val="17"/>
          <w:color w:val="auto"/>
        </w:rPr>
        <w:t>”). The closing of the Offering will be conditioned upon and acceptance of subscriptions for the Minimum Amount (as defined below) and the certain other conditions described herein.</w:t>
      </w:r>
    </w:p>
    <w:p>
      <w:pPr>
        <w:spacing w:after="0" w:line="169" w:lineRule="exact"/>
        <w:rPr>
          <w:sz w:val="20"/>
          <w:szCs w:val="20"/>
          <w:color w:val="auto"/>
        </w:rPr>
      </w:pPr>
    </w:p>
    <w:p>
      <w:pPr>
        <w:ind w:left="1280" w:hanging="624"/>
        <w:spacing w:after="0"/>
        <w:tabs>
          <w:tab w:leader="none" w:pos="12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of Agent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83" w:lineRule="auto"/>
        <w:tabs>
          <w:tab w:leader="none" w:pos="2067" w:val="left"/>
        </w:tabs>
        <w:numPr>
          <w:ilvl w:val="1"/>
          <w:numId w:val="88"/>
        </w:numPr>
        <w:rPr>
          <w:rFonts w:ascii="Arial" w:cs="Arial" w:eastAsia="Arial" w:hAnsi="Arial"/>
          <w:sz w:val="16"/>
          <w:szCs w:val="16"/>
          <w:color w:val="auto"/>
        </w:rPr>
      </w:pPr>
      <w:r>
        <w:rPr>
          <w:rFonts w:ascii="Arial" w:cs="Arial" w:eastAsia="Arial" w:hAnsi="Arial"/>
          <w:sz w:val="16"/>
          <w:szCs w:val="16"/>
          <w:color w:val="auto"/>
        </w:rPr>
        <w:t>On the basis of the written and documented representations and warranties of the Company provided herein, and subject to the terms and conditions set forth herein, the Company hereby appoints the Agent as an agent of the Company during the Offering Period (as defined in Section 1(b) below) to assist the Company in finding qualified subscribers for the Offering as described in Section 4(c) of the Subscription Agreement (as defined herein). Katalyst may offer the Securities through other broker-dealers who are FINRA members (collectively, the “</w:t>
      </w:r>
      <w:r>
        <w:rPr>
          <w:rFonts w:ascii="Arial" w:cs="Arial" w:eastAsia="Arial" w:hAnsi="Arial"/>
          <w:sz w:val="16"/>
          <w:szCs w:val="16"/>
          <w:i w:val="1"/>
          <w:iCs w:val="1"/>
          <w:color w:val="auto"/>
        </w:rPr>
        <w:t>Sub Agents</w:t>
      </w:r>
      <w:r>
        <w:rPr>
          <w:rFonts w:ascii="Arial" w:cs="Arial" w:eastAsia="Arial" w:hAnsi="Arial"/>
          <w:sz w:val="16"/>
          <w:szCs w:val="16"/>
          <w:color w:val="auto"/>
        </w:rPr>
        <w:t>”) and may reallow all or a portion of Katalyst’s Broker Compensation (as defined in Section 3(a) and 3(b) below) it receives to such other Sub Agents or pay a finders or consultant fee as allowed by applicable law. On the basis of such representations and warranties and subject to such terms and conditions, the Agent hereby accepts such appointment and agrees to perform the services hereunder diligently and in good faith and in a professional and businesslike manner and in compliance with applicable law and to use its reasonable best efforts to assist the Company in finding subscribers of the Securities who qualify as “accredited investors,” as such term is defined in Rule 501 of Regulation D. The Agent has no obligation to purchase any of the Securities or sell any Securities. Unless sooner terminated in accordance with this Agreement, the engagement of the Agent pursuant to subclause above shall continue until the later of the Termination Date or the Closing (as defined below). The Offering is currently anticipated to be the private placement of Units (“</w:t>
      </w:r>
      <w:r>
        <w:rPr>
          <w:rFonts w:ascii="Arial" w:cs="Arial" w:eastAsia="Arial" w:hAnsi="Arial"/>
          <w:sz w:val="16"/>
          <w:szCs w:val="16"/>
          <w:i w:val="1"/>
          <w:iCs w:val="1"/>
          <w:color w:val="auto"/>
        </w:rPr>
        <w:t>Units</w:t>
      </w:r>
      <w:r>
        <w:rPr>
          <w:rFonts w:ascii="Arial" w:cs="Arial" w:eastAsia="Arial" w:hAnsi="Arial"/>
          <w:sz w:val="16"/>
          <w:szCs w:val="16"/>
          <w:color w:val="auto"/>
        </w:rPr>
        <w:t>”), with each Unit consisting of (i) one share of the Company’s common stock (the “</w:t>
      </w:r>
      <w:r>
        <w:rPr>
          <w:rFonts w:ascii="Arial" w:cs="Arial" w:eastAsia="Arial" w:hAnsi="Arial"/>
          <w:sz w:val="16"/>
          <w:szCs w:val="16"/>
          <w:i w:val="1"/>
          <w:iCs w:val="1"/>
          <w:color w:val="auto"/>
        </w:rPr>
        <w:t>Common Stock</w:t>
      </w:r>
      <w:r>
        <w:rPr>
          <w:rFonts w:ascii="Arial" w:cs="Arial" w:eastAsia="Arial" w:hAnsi="Arial"/>
          <w:sz w:val="16"/>
          <w:szCs w:val="16"/>
          <w:color w:val="auto"/>
        </w:rPr>
        <w:t>”), par value $0.001 (each, a “</w:t>
      </w:r>
      <w:r>
        <w:rPr>
          <w:rFonts w:ascii="Arial" w:cs="Arial" w:eastAsia="Arial" w:hAnsi="Arial"/>
          <w:sz w:val="16"/>
          <w:szCs w:val="16"/>
          <w:i w:val="1"/>
          <w:iCs w:val="1"/>
          <w:color w:val="auto"/>
        </w:rPr>
        <w:t>Share</w:t>
      </w:r>
      <w:r>
        <w:rPr>
          <w:rFonts w:ascii="Arial" w:cs="Arial" w:eastAsia="Arial" w:hAnsi="Arial"/>
          <w:sz w:val="16"/>
          <w:szCs w:val="16"/>
          <w:color w:val="auto"/>
        </w:rPr>
        <w:t>”) at the Market Value (as defined below) and (ii) one warrant to purchase one share of Common Stock with an exercise price Market Value(as defined below) per Share (each, a “</w:t>
      </w:r>
      <w:r>
        <w:rPr>
          <w:rFonts w:ascii="Arial" w:cs="Arial" w:eastAsia="Arial" w:hAnsi="Arial"/>
          <w:sz w:val="16"/>
          <w:szCs w:val="16"/>
          <w:i w:val="1"/>
          <w:iCs w:val="1"/>
          <w:color w:val="auto"/>
        </w:rPr>
        <w:t>Warrant</w:t>
      </w:r>
      <w:r>
        <w:rPr>
          <w:rFonts w:ascii="Arial" w:cs="Arial" w:eastAsia="Arial" w:hAnsi="Arial"/>
          <w:sz w:val="16"/>
          <w:szCs w:val="16"/>
          <w:color w:val="auto"/>
        </w:rPr>
        <w:t>” and collectively with the Shares, the Warrant Shares (as defined herein) and the Units, the “</w:t>
      </w:r>
      <w:r>
        <w:rPr>
          <w:rFonts w:ascii="Arial" w:cs="Arial" w:eastAsia="Arial" w:hAnsi="Arial"/>
          <w:sz w:val="16"/>
          <w:szCs w:val="16"/>
          <w:i w:val="1"/>
          <w:iCs w:val="1"/>
          <w:color w:val="auto"/>
        </w:rPr>
        <w:t>Securities</w:t>
      </w:r>
      <w:r>
        <w:rPr>
          <w:rFonts w:ascii="Arial" w:cs="Arial" w:eastAsia="Arial" w:hAnsi="Arial"/>
          <w:sz w:val="16"/>
          <w:szCs w:val="16"/>
          <w:color w:val="auto"/>
        </w:rPr>
        <w:t>”). The Offering is for a minimum of gross proceeds of Five Million Dollars ($5,000,000) (the “</w:t>
      </w:r>
      <w:r>
        <w:rPr>
          <w:rFonts w:ascii="Arial" w:cs="Arial" w:eastAsia="Arial" w:hAnsi="Arial"/>
          <w:sz w:val="16"/>
          <w:szCs w:val="16"/>
          <w:i w:val="1"/>
          <w:iCs w:val="1"/>
          <w:color w:val="auto"/>
        </w:rPr>
        <w:t>Minimum Offering</w:t>
      </w:r>
      <w:r>
        <w:rPr>
          <w:rFonts w:ascii="Arial" w:cs="Arial" w:eastAsia="Arial" w:hAnsi="Arial"/>
          <w:sz w:val="16"/>
          <w:szCs w:val="16"/>
          <w:color w:val="auto"/>
        </w:rPr>
        <w:t>”) and a maximum of gross proceeds of Six Million Dollars ($6,000,000) (the “</w:t>
      </w:r>
      <w:r>
        <w:rPr>
          <w:rFonts w:ascii="Arial" w:cs="Arial" w:eastAsia="Arial" w:hAnsi="Arial"/>
          <w:sz w:val="16"/>
          <w:szCs w:val="16"/>
          <w:i w:val="1"/>
          <w:iCs w:val="1"/>
          <w:color w:val="auto"/>
        </w:rPr>
        <w:t>Maximum Offering</w:t>
      </w:r>
      <w:r>
        <w:rPr>
          <w:rFonts w:ascii="Arial" w:cs="Arial" w:eastAsia="Arial" w:hAnsi="Arial"/>
          <w:sz w:val="16"/>
          <w:szCs w:val="16"/>
          <w:color w:val="auto"/>
        </w:rPr>
        <w:t>”) through the sale of the Units, with an over-subscription option up to an additional Four Million Dollars ($4,000,000) at the discretion of the Company (the “</w:t>
      </w:r>
      <w:r>
        <w:rPr>
          <w:rFonts w:ascii="Arial" w:cs="Arial" w:eastAsia="Arial" w:hAnsi="Arial"/>
          <w:sz w:val="16"/>
          <w:szCs w:val="16"/>
          <w:i w:val="1"/>
          <w:iCs w:val="1"/>
          <w:color w:val="auto"/>
        </w:rPr>
        <w:t>Over Allotment</w:t>
      </w:r>
      <w:r>
        <w:rPr>
          <w:rFonts w:ascii="Arial" w:cs="Arial" w:eastAsia="Arial" w:hAnsi="Arial"/>
          <w:sz w:val="16"/>
          <w:szCs w:val="16"/>
          <w:color w:val="auto"/>
        </w:rPr>
        <w:t>”).</w:t>
      </w:r>
    </w:p>
    <w:p>
      <w:pPr>
        <w:ind w:right="20"/>
        <w:spacing w:after="0" w:line="219" w:lineRule="auto"/>
        <w:rPr>
          <w:sz w:val="20"/>
          <w:szCs w:val="20"/>
          <w:color w:val="auto"/>
        </w:rPr>
      </w:pPr>
      <w:r>
        <w:rPr>
          <w:rFonts w:ascii="Arial" w:cs="Arial" w:eastAsia="Arial" w:hAnsi="Arial"/>
          <w:sz w:val="17"/>
          <w:szCs w:val="17"/>
          <w:color w:val="auto"/>
        </w:rPr>
        <w:t>The offering price per Unit will be at the Market Value (“</w:t>
      </w:r>
      <w:r>
        <w:rPr>
          <w:rFonts w:ascii="Arial" w:cs="Arial" w:eastAsia="Arial" w:hAnsi="Arial"/>
          <w:sz w:val="17"/>
          <w:szCs w:val="17"/>
          <w:i w:val="1"/>
          <w:iCs w:val="1"/>
          <w:color w:val="auto"/>
        </w:rPr>
        <w:t>Market Value</w:t>
      </w:r>
      <w:r>
        <w:rPr>
          <w:rFonts w:ascii="Arial" w:cs="Arial" w:eastAsia="Arial" w:hAnsi="Arial"/>
          <w:sz w:val="17"/>
          <w:szCs w:val="17"/>
          <w:color w:val="auto"/>
        </w:rPr>
        <w:t>”) as defined by NASDAQ</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plus $0.125 (the “</w:t>
      </w:r>
      <w:r>
        <w:rPr>
          <w:rFonts w:ascii="Arial" w:cs="Arial" w:eastAsia="Arial" w:hAnsi="Arial"/>
          <w:sz w:val="17"/>
          <w:szCs w:val="17"/>
          <w:i w:val="1"/>
          <w:iCs w:val="1"/>
          <w:color w:val="auto"/>
        </w:rPr>
        <w:t>Purchase Price</w:t>
      </w:r>
      <w:r>
        <w:rPr>
          <w:rFonts w:ascii="Arial" w:cs="Arial" w:eastAsia="Arial" w:hAnsi="Arial"/>
          <w:sz w:val="17"/>
          <w:szCs w:val="17"/>
          <w:color w:val="auto"/>
        </w:rPr>
        <w:t>”). The Purchase Price represents the Market Value allocated for the share of the Common Stock in the Unit and the $0.125 is allocated to the Warrant in the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8097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4" w:lineRule="exact"/>
        <w:rPr>
          <w:sz w:val="20"/>
          <w:szCs w:val="20"/>
          <w:color w:val="auto"/>
        </w:rPr>
      </w:pPr>
    </w:p>
    <w:p>
      <w:pPr>
        <w:jc w:val="both"/>
        <w:ind w:firstLine="8"/>
        <w:spacing w:after="0" w:line="218" w:lineRule="auto"/>
        <w:tabs>
          <w:tab w:leader="none" w:pos="133" w:val="left"/>
        </w:tabs>
        <w:numPr>
          <w:ilvl w:val="0"/>
          <w:numId w:val="89"/>
        </w:numPr>
        <w:rPr>
          <w:rFonts w:ascii="Arial" w:cs="Arial" w:eastAsia="Arial" w:hAnsi="Arial"/>
          <w:sz w:val="30"/>
          <w:szCs w:val="30"/>
          <w:color w:val="auto"/>
          <w:vertAlign w:val="superscript"/>
        </w:rPr>
      </w:pPr>
      <w:r>
        <w:rPr>
          <w:rFonts w:ascii="Arial" w:cs="Arial" w:eastAsia="Arial" w:hAnsi="Arial"/>
          <w:sz w:val="18"/>
          <w:szCs w:val="18"/>
          <w:color w:val="auto"/>
        </w:rPr>
        <w:t>“Market Value” as set forth in Listing Rule 5005(a)(22) is the consolidated closing bid price per share of the Common Stock immediately preceding the Company’s acceptance of subscription agreements for at least the Minimum Offering amount. If the transaction is entered into during market hours, before the close of the regular session at 4PM Eastern Time, the previous trading day’s consolidated closing bid price will be used. If the transaction is entered into after the close of the regular session, then that day’s consolidated closing bid price will be used.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64" w:right="239" w:bottom="1440" w:gutter="0" w:footer="0" w:header="0"/>
        </w:sectPr>
      </w:pPr>
    </w:p>
    <w:bookmarkStart w:id="87" w:name="page88"/>
    <w:bookmarkEnd w:id="87"/>
    <w:p>
      <w:pPr>
        <w:jc w:val="both"/>
        <w:ind w:firstLine="1297"/>
        <w:spacing w:after="0" w:line="255" w:lineRule="auto"/>
        <w:rPr>
          <w:sz w:val="20"/>
          <w:szCs w:val="20"/>
          <w:color w:val="auto"/>
        </w:rPr>
      </w:pPr>
      <w:r>
        <w:rPr>
          <w:rFonts w:ascii="Arial" w:cs="Arial" w:eastAsia="Arial" w:hAnsi="Arial"/>
          <w:sz w:val="18"/>
          <w:szCs w:val="18"/>
          <w:color w:val="auto"/>
        </w:rPr>
        <w:t>Simultaneously with the Closing of the Offering, the 653,187 warrants issued in the Company’s August 2016 Private Placement Offering with closing dates of August 10, 2016 and August 26, 2016 (“</w:t>
      </w:r>
      <w:r>
        <w:rPr>
          <w:rFonts w:ascii="Arial" w:cs="Arial" w:eastAsia="Arial" w:hAnsi="Arial"/>
          <w:sz w:val="18"/>
          <w:szCs w:val="18"/>
          <w:i w:val="1"/>
          <w:iCs w:val="1"/>
          <w:color w:val="auto"/>
        </w:rPr>
        <w:t>2016 Offering</w:t>
      </w:r>
      <w:r>
        <w:rPr>
          <w:rFonts w:ascii="Arial" w:cs="Arial" w:eastAsia="Arial" w:hAnsi="Arial"/>
          <w:sz w:val="18"/>
          <w:szCs w:val="18"/>
          <w:color w:val="auto"/>
        </w:rPr>
        <w:t>”) (each warrant providing for the purchase of one share of Common Stock) will be repriced, such that the exercise price will be reduced from $6.00 per share to a price equal to Market Value (that is, the same exercise price as the Warrants being issued in this offering). If any investors who hold warrants issued in the 2016 Offering invest in this Offering, there is an additional $0.125 (“</w:t>
      </w:r>
      <w:r>
        <w:rPr>
          <w:rFonts w:ascii="Arial" w:cs="Arial" w:eastAsia="Arial" w:hAnsi="Arial"/>
          <w:sz w:val="18"/>
          <w:szCs w:val="18"/>
          <w:i w:val="1"/>
          <w:iCs w:val="1"/>
          <w:color w:val="auto"/>
        </w:rPr>
        <w:t>2016</w:t>
      </w:r>
      <w:r>
        <w:rPr>
          <w:rFonts w:ascii="Arial" w:cs="Arial" w:eastAsia="Arial" w:hAnsi="Arial"/>
          <w:sz w:val="18"/>
          <w:szCs w:val="18"/>
          <w:color w:val="auto"/>
        </w:rPr>
        <w:t xml:space="preserve"> </w:t>
      </w:r>
      <w:r>
        <w:rPr>
          <w:rFonts w:ascii="Arial" w:cs="Arial" w:eastAsia="Arial" w:hAnsi="Arial"/>
          <w:sz w:val="18"/>
          <w:szCs w:val="18"/>
          <w:i w:val="1"/>
          <w:iCs w:val="1"/>
          <w:color w:val="auto"/>
        </w:rPr>
        <w:t>Warrant Price</w:t>
      </w:r>
      <w:r>
        <w:rPr>
          <w:rFonts w:ascii="Arial" w:cs="Arial" w:eastAsia="Arial" w:hAnsi="Arial"/>
          <w:sz w:val="18"/>
          <w:szCs w:val="18"/>
          <w:color w:val="auto"/>
        </w:rPr>
        <w:t>”) to the Purchase Price per number of unexercised warrants held by that investor from the 2016 Offering. The 2016 Warrant Price will need to</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 the subscription price for the Units.</w:t>
      </w:r>
    </w:p>
    <w:p>
      <w:pPr>
        <w:spacing w:after="0" w:line="19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The minimum subscription is Twenty Five Thousand Dollars ($25,000), </w:t>
      </w:r>
      <w:r>
        <w:rPr>
          <w:rFonts w:ascii="Arial" w:cs="Arial" w:eastAsia="Arial" w:hAnsi="Arial"/>
          <w:sz w:val="18"/>
          <w:szCs w:val="18"/>
          <w:i w:val="1"/>
          <w:iCs w:val="1"/>
          <w:color w:val="auto"/>
        </w:rPr>
        <w:t>provided</w:t>
      </w:r>
      <w:r>
        <w:rPr>
          <w:rFonts w:ascii="Arial" w:cs="Arial" w:eastAsia="Arial" w:hAnsi="Arial"/>
          <w:sz w:val="18"/>
          <w:szCs w:val="18"/>
          <w:color w:val="auto"/>
        </w:rPr>
        <w:t>, however, that subscriptions in lesser amounts may be accepted by the Company in its sole discretion. There will be one Closing, as defined below.</w:t>
      </w:r>
    </w:p>
    <w:p>
      <w:pPr>
        <w:spacing w:after="0" w:line="170" w:lineRule="exact"/>
        <w:rPr>
          <w:sz w:val="20"/>
          <w:szCs w:val="20"/>
          <w:color w:val="auto"/>
        </w:rPr>
      </w:pPr>
    </w:p>
    <w:p>
      <w:pPr>
        <w:jc w:val="both"/>
        <w:ind w:firstLine="1305"/>
        <w:spacing w:after="0" w:line="276" w:lineRule="auto"/>
        <w:tabs>
          <w:tab w:leader="none" w:pos="2001" w:val="left"/>
        </w:tabs>
        <w:numPr>
          <w:ilvl w:val="0"/>
          <w:numId w:val="90"/>
        </w:numPr>
        <w:rPr>
          <w:rFonts w:ascii="Arial" w:cs="Arial" w:eastAsia="Arial" w:hAnsi="Arial"/>
          <w:sz w:val="17"/>
          <w:szCs w:val="17"/>
          <w:color w:val="auto"/>
        </w:rPr>
      </w:pPr>
      <w:r>
        <w:rPr>
          <w:rFonts w:ascii="Arial" w:cs="Arial" w:eastAsia="Arial" w:hAnsi="Arial"/>
          <w:sz w:val="17"/>
          <w:szCs w:val="17"/>
          <w:color w:val="auto"/>
        </w:rPr>
        <w:t>Placement of the Securities by the Agent will be made on a reasonable best efforts basis. The Company agrees and acknowledges that the Agent is not acting as an underwriter with respect to the Offering, and the Company shall determine the purchasers in the Offering in its sole discretion. The Securities will be offered by the Company to potential subscribers, which may include related parties of the Agent or the Company, with the Closing (as defined below) on or before June 15, 2017 (the “</w:t>
      </w:r>
      <w:r>
        <w:rPr>
          <w:rFonts w:ascii="Arial" w:cs="Arial" w:eastAsia="Arial" w:hAnsi="Arial"/>
          <w:sz w:val="17"/>
          <w:szCs w:val="17"/>
          <w:i w:val="1"/>
          <w:iCs w:val="1"/>
          <w:color w:val="auto"/>
        </w:rPr>
        <w:t>Offering Period</w:t>
      </w:r>
      <w:r>
        <w:rPr>
          <w:rFonts w:ascii="Arial" w:cs="Arial" w:eastAsia="Arial" w:hAnsi="Arial"/>
          <w:sz w:val="17"/>
          <w:szCs w:val="17"/>
          <w:color w:val="auto"/>
        </w:rPr>
        <w:t>”). The date on which the Offering is terminated shall be referred to as the “</w:t>
      </w:r>
      <w:r>
        <w:rPr>
          <w:rFonts w:ascii="Arial" w:cs="Arial" w:eastAsia="Arial" w:hAnsi="Arial"/>
          <w:sz w:val="17"/>
          <w:szCs w:val="17"/>
          <w:i w:val="1"/>
          <w:iCs w:val="1"/>
          <w:color w:val="auto"/>
        </w:rPr>
        <w:t>Termination Date</w:t>
      </w:r>
      <w:r>
        <w:rPr>
          <w:rFonts w:ascii="Arial" w:cs="Arial" w:eastAsia="Arial" w:hAnsi="Arial"/>
          <w:sz w:val="17"/>
          <w:szCs w:val="17"/>
          <w:color w:val="auto"/>
        </w:rPr>
        <w:t>”. The closing of the Offering may be held up to ten days after the Termination Date.</w:t>
      </w:r>
    </w:p>
    <w:p>
      <w:pPr>
        <w:spacing w:after="0" w:line="172" w:lineRule="exact"/>
        <w:rPr>
          <w:rFonts w:ascii="Arial" w:cs="Arial" w:eastAsia="Arial" w:hAnsi="Arial"/>
          <w:sz w:val="17"/>
          <w:szCs w:val="17"/>
          <w:color w:val="auto"/>
        </w:rPr>
      </w:pPr>
    </w:p>
    <w:p>
      <w:pPr>
        <w:jc w:val="both"/>
        <w:ind w:firstLine="1305"/>
        <w:spacing w:after="0" w:line="286" w:lineRule="auto"/>
        <w:tabs>
          <w:tab w:leader="none" w:pos="1956"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shall only offer securities to and accept subscriptions from or sell Securities to, persons or entities that qualify as (or are reasonably believed to be) “accredited investors,” as such term is defined in Rule 501(a) of Regulation D (“</w:t>
      </w:r>
      <w:r>
        <w:rPr>
          <w:rFonts w:ascii="Arial" w:cs="Arial" w:eastAsia="Arial" w:hAnsi="Arial"/>
          <w:sz w:val="17"/>
          <w:szCs w:val="17"/>
          <w:i w:val="1"/>
          <w:iCs w:val="1"/>
          <w:color w:val="auto"/>
        </w:rPr>
        <w:t>Regulation D</w:t>
      </w:r>
      <w:r>
        <w:rPr>
          <w:rFonts w:ascii="Arial" w:cs="Arial" w:eastAsia="Arial" w:hAnsi="Arial"/>
          <w:sz w:val="17"/>
          <w:szCs w:val="17"/>
          <w:color w:val="auto"/>
        </w:rPr>
        <w:t>”) as promulgated by the United States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under Section 4(a)(2) of the Securities Act of 1933, as amended (the “</w:t>
      </w:r>
      <w:r>
        <w:rPr>
          <w:rFonts w:ascii="Arial" w:cs="Arial" w:eastAsia="Arial" w:hAnsi="Arial"/>
          <w:sz w:val="17"/>
          <w:szCs w:val="17"/>
          <w:i w:val="1"/>
          <w:iCs w:val="1"/>
          <w:color w:val="auto"/>
        </w:rPr>
        <w:t>Act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305"/>
        <w:spacing w:after="0" w:line="255" w:lineRule="auto"/>
        <w:tabs>
          <w:tab w:leader="none" w:pos="196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offering of Securities will be made by the Agent on behalf of the Company solely pursuant to the Subscription Agreement and the Exhibits to the Subscription Agreement, including, but not limited to, and to the extent applicable, a Registration Rights Agreement, the Warrant and any documents, agreements, supplements and additions thereto (collectively, the “Subscription Documents”), which at all times will be in form and substance reasonably acceptable to the Company and the Agent and their counsel and contain such legends and other information as the Company, the Agent and their counsel, may, from time to time, deem necessary and desirable to be set forth therein. No securities may be offered for sale in Canada or to an investor, person or entity, residing in Canada.</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09" w:right="239" w:bottom="1440" w:gutter="0" w:footer="0" w:header="0"/>
        </w:sectPr>
      </w:pPr>
    </w:p>
    <w:bookmarkStart w:id="88" w:name="page89"/>
    <w:bookmarkEnd w:id="88"/>
    <w:p>
      <w:pPr>
        <w:jc w:val="both"/>
        <w:ind w:firstLine="1305"/>
        <w:spacing w:after="0" w:line="272" w:lineRule="auto"/>
        <w:tabs>
          <w:tab w:leader="none" w:pos="1992" w:val="left"/>
        </w:tabs>
        <w:numPr>
          <w:ilvl w:val="1"/>
          <w:numId w:val="91"/>
        </w:numPr>
        <w:rPr>
          <w:rFonts w:ascii="Arial" w:cs="Arial" w:eastAsia="Arial" w:hAnsi="Arial"/>
          <w:sz w:val="17"/>
          <w:szCs w:val="17"/>
          <w:color w:val="auto"/>
        </w:rPr>
      </w:pPr>
      <w:r>
        <w:rPr>
          <w:rFonts w:ascii="Arial" w:cs="Arial" w:eastAsia="Arial" w:hAnsi="Arial"/>
          <w:sz w:val="17"/>
          <w:szCs w:val="17"/>
          <w:color w:val="auto"/>
        </w:rPr>
        <w:t>With respect to the Offering, the Company shall provide the Agent, on terms set forth herein, the right to offer all of the available Securities being offered during the Offering Period (subject to prior offer and sale of some of the Securities). It is understood that no sale shall be regarded as effective unless and until accepted by the Company. The Company may, in its sole discretion, accept or reject, in whole or in part, any prospective investment in the Securities or allot to any prospective subscriber less than the number of Securities that such subscriber desires to purchase. Purchases of Securities may be made by the Agent and any selected sub-dealers and their respective officers, directors, employees and affiliates and by the officers, directors, employees and affiliates of the Company (collectively, the “Affiliates”) for the Offering and such purchases will be made by the Affiliates based solely upon the same information that is provided to the investors in the Offering.</w:t>
      </w:r>
    </w:p>
    <w:p>
      <w:pPr>
        <w:spacing w:after="0" w:line="173" w:lineRule="exact"/>
        <w:rPr>
          <w:rFonts w:ascii="Arial" w:cs="Arial" w:eastAsia="Arial" w:hAnsi="Arial"/>
          <w:sz w:val="17"/>
          <w:szCs w:val="17"/>
          <w:color w:val="auto"/>
        </w:rPr>
      </w:pPr>
    </w:p>
    <w:p>
      <w:pPr>
        <w:ind w:left="1280" w:hanging="624"/>
        <w:spacing w:after="0"/>
        <w:tabs>
          <w:tab w:leader="none" w:pos="12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jc w:val="both"/>
        <w:ind w:firstLine="1305"/>
        <w:spacing w:after="0" w:line="295" w:lineRule="auto"/>
        <w:tabs>
          <w:tab w:leader="none" w:pos="2001"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Warranties and Covenants of the Company</w:t>
      </w:r>
      <w:r>
        <w:rPr>
          <w:rFonts w:ascii="Arial" w:cs="Arial" w:eastAsia="Arial" w:hAnsi="Arial"/>
          <w:sz w:val="16"/>
          <w:szCs w:val="16"/>
          <w:color w:val="auto"/>
        </w:rPr>
        <w:t>. The Company hereby represents and warrants to the Agent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set forth in the Company’s SEC Filings (as defined in Section 2A(b) below) immediately prior to the closing of the transactions contemplated hereby, each of the representations and warranties contained in this Section 2A is true in all respects as of the date hereof and will be true in all respects as of the Closing Date, as defined under Section 4(e). In addition to the representations and warranties set forth herein, the Agent shall be entitled to rely upon the representations and warranties made or given by the Company to any acquirer of Securities in the Offering in any agreement, certificate, legal opinion or otherwise in connection with an Offering. For purposes of this Section 2A, the term Company includes all of the Company’s subsidiaries (if any).</w:t>
      </w:r>
    </w:p>
    <w:p>
      <w:pPr>
        <w:spacing w:after="0" w:line="160" w:lineRule="exact"/>
        <w:rPr>
          <w:sz w:val="20"/>
          <w:szCs w:val="20"/>
          <w:color w:val="auto"/>
        </w:rPr>
      </w:pPr>
    </w:p>
    <w:p>
      <w:pPr>
        <w:jc w:val="both"/>
        <w:ind w:firstLine="1305"/>
        <w:spacing w:after="0" w:line="284" w:lineRule="auto"/>
        <w:tabs>
          <w:tab w:leader="none" w:pos="204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Subscription Documents have been and/or will be prepared by the Company, in conformity with all applicable laws, and in compliance with Regulation D and/or Section 4(a)(2) of the Act and the requirements of all other rules and regulations (the “Regulations”) of the SEC relating to offerings of the type contemplated by the Offering, and the applicable securities laws and the rules and regulations of those jurisdictions wherein the Agent notifies the Company that the Securities are to be offered and sold (including U.S. states). The Securities will be offered and sold pursuant to the registration exemption provided by Regulation D and/or Section 4(a)(2) of the Act as a transaction not involving a public offering and the requirements of any other applicable state securities laws and the respective rules and regulations thereunder in those United States jurisdictions in which the Agent notifies the Company that the Securities are being offered for sale. None of the Company, its predecessors or its affiliates, or any person acting on its or their behalf (other than the Agent, its affiliates or any person acting on its behalf, in respect of which no representation is made) has taken nor will it take any action that conflicts with the conditions and requirements of, or that would make unavailable with respect to the Offering, the exemption(s) from registration available pursuant to Rule 506(b) of Regulation D and/or Section 4(a)(2) of the Act and applicable state securities laws, or knows of any reason why any such exemption would be otherwise unavailable to it). Neither the Company, nor any of its affiliates, nor any person acting on its or their behalf, has directly or indirectly made any offers or sales of any security or solicited any offers to buy any security under circumstances that would require registration under the Act of the issuance of the Securities or the Brokers Warrants (as hereinafter defined). None of the Company, its predecessors or affiliates has been subject to any order, judgment or decree of any court of competent jurisdiction temporarily, preliminarily or permanently enjoining such person for failing to comply with Section 503 of Regulation D or the equivalent state securities law requirements. The Company has not, for a period of six months prior to the commencement of the Offering sold, offered for sale or solicited any offer to buy any of its securities in a manner that would be integrated with the offer and sale of the Securities pursuant to this Agreement, would cause the exemption from registration set forth in Rule 506 of Regulation D and state securities laws to become unavailable with respect to the offer and sale of the Securities to this Agreement in the United States. The Shares, and the shares issued upon the exercise of the Warrants will be quoted on the OTCQB or the Nasdaq Stock Market, the NYSE, or such other markets where the Common Stock will be traded (collectively referred to as the “Principal Market”). The Company has taken no action designed to, or likely to have the effect of, terminating the quotation of the Common Stock on the Principal Market. The Company, on the Closing Date, will be in compliance with all of the then-applicable requirements for continued quotation of the Common Stock on the Principal Market.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08" w:right="239" w:bottom="1440" w:gutter="0" w:footer="0" w:header="0"/>
        </w:sectPr>
      </w:pPr>
    </w:p>
    <w:bookmarkStart w:id="89" w:name="page90"/>
    <w:bookmarkEnd w:id="89"/>
    <w:p>
      <w:pPr>
        <w:jc w:val="both"/>
        <w:ind w:firstLine="1305"/>
        <w:spacing w:after="0" w:line="286" w:lineRule="auto"/>
        <w:tabs>
          <w:tab w:leader="none" w:pos="1953"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Subscription Documents, as prepared and contemplated by the Company, will not and do not include any untrue statement of a material fact or omit to state any material fact required to be stated therein or necessary to make the statements therein, in light of the circumstances under which they were made, not misleading. To the knowledge of the Company, none of the statements, documents, certificates or other items made, prepared or supplied by the Company with respect to the transactions contemplated hereby contains an untrue statement of a material fact or omits to state a material fact necessary to make the statements contained therein not misleading in light of the circumstances in which they were made. There is no fact which the Company has not disclosed in the Subscription Documents or which is not disclosed in the filings (the “SEC Filings”) that the Company makes with the SEC and of which the Company is aware that materially adversely affects or that could reasonably be expected to have a material adverse effect on the (i) assets, liabilities, results of operations, condition (financial or otherwise), business or business prospects of the Company or (ii) ability of the Company to perform its obligations under this Agreement and the other Subscription Documents (the “Company Material Adverse Effect”). Notwithstanding anything to the contrary herein, the Company makes no representation or warranty with respect to any estimates, projections and other forecasts and plans (including the reasonableness of the assumptions underlying such estimates, projections and other forecasts and plans) that may have been delivered to the Agent or its respective representatives, except that such estimates, projections and other forecasts and plans have been prepared in good faith on the basis of assumptions stated therein, which assumptions were believed to be reasonable at the time of such preparation. Other than the Company’s SEC Filings, the Company has not distributed and will not distribute prior to the Closing any offering material in connection with the offering and sale of the Securities, unless such offering materials are provided to the Agent prior to or simultaneously with such delivery to the offerees of the Securities.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8" w:right="239" w:bottom="1440" w:gutter="0" w:footer="0" w:header="0"/>
        </w:sectPr>
      </w:pPr>
    </w:p>
    <w:bookmarkStart w:id="90" w:name="page91"/>
    <w:bookmarkEnd w:id="90"/>
    <w:p>
      <w:pPr>
        <w:jc w:val="both"/>
        <w:ind w:firstLine="1305"/>
        <w:spacing w:after="0" w:line="285" w:lineRule="auto"/>
        <w:tabs>
          <w:tab w:leader="none" w:pos="2002"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Company is a corporation duly organized, validly existing and in good standing under the laws of the State of Nevada and is qualified and in good standing as a foreign corporation in each jurisdiction in which the nature of the business conducted by the Company or the property owned or leased by the Company requires such qualification, except to the extent that the failure to be so qualified or be in good standing would not have a Company Material Adverse Effect. The Company has all requisite corporate power and authority to conduct its business as presently conducted and as proposed to be conducted (as described in the Subscription Documents and/or the SEC Filings), has all the necessary and requisite documents and approvals from all state authorities, has all requisite corporate power and authority to enter into and perform its obligations under this Agreement, the Subscription Agreement substantially in the form made part of the Subscription Documents (the “Subscription Agreement”), the Registration Rights Agreement substantially in the form made part of the Subscription Documents (the “Registration Rights Agreement”), the Warrant Agreement substantially in the form made part of the Subscription Documents (the “Warrant Agreement”), and any other agreements, if any, contemplated by the Offering (all such agreements, together with this Agreement, the “Company Transaction Documents”) and subject to necessary Board and stockholder approvals, to issue, sell and deliver the Shares, the Warrants and the Broker Warrants (as hereinafter defined) (the shares of Common Stock issuable upon exercise of the Warrants and the Broker Warrants are hereinafter referred to collectively as the “Warrant Shares”) and to make the representations in this Agreement accurate and not misleading. Prior to the Closing, as defined under Section 4(e), each of the Company Transaction Documents and the Offering will have been duly authorized. This Agreement has been duly authorized, executed and delivered and constitutes, and each of the other Company Transaction Documents, upon due execution and delivery, will constitute, valid and binding obligations of the Company, enforceable against the Company in accordance with their respective terms (i) except as enforceability may be limited by applicable bankruptcy, insolvency, reorganization, moratorium or other similar laws now or hereafter in effect related to laws affecting creditors’ rights generally, including the effect of statutory and other laws regarding fraudulent conveyances and preferential transfers, and except that no representation is made herein regarding the enforceability of the Company’s obligations to provide indemnification and contribution remedies under the securities laws and (ii) subject to the limitations imposed by general equitable principles (regardless of whether such enforceability is considered in a proceeding at law or in equity).</w:t>
      </w:r>
    </w:p>
    <w:p>
      <w:pPr>
        <w:spacing w:after="0" w:line="386" w:lineRule="exact"/>
        <w:rPr>
          <w:rFonts w:ascii="Arial" w:cs="Arial" w:eastAsia="Arial" w:hAnsi="Arial"/>
          <w:sz w:val="16"/>
          <w:szCs w:val="16"/>
          <w:color w:val="auto"/>
        </w:rPr>
      </w:pPr>
    </w:p>
    <w:p>
      <w:pPr>
        <w:jc w:val="both"/>
        <w:ind w:firstLine="1305"/>
        <w:spacing w:after="0" w:line="286" w:lineRule="auto"/>
        <w:tabs>
          <w:tab w:leader="none" w:pos="2159"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None of the execution and delivery of or performance by the Company under this Agreement or any of the other Company Transaction Documents or the consummation of the transactions in this Agreement or in the Subscription Documents (including the issuance and sale of the Shares, the issuance of the Warrants or the issuance of the Warrants Shares conflicts with or violates, or causes a default under (with our without the passage of time or the giving of notice), or will result in the creation or imposition of, any lien, charge or other encumbrance upon any of the assets of the Company under any agreement, evidence of indebtedness, joint venture, commitment or other instrument to which the Company is a party or by which the Company or its assets may be bound, any statute, rule, law or governmental regulation applicable to the Company, or any term of the Article of Incorporation as in effect on the date hereof or any closing date for the Offering (the “Articles of Incorporation”) or By-Laws as in effect on the date hereof or any closing date for the Offering (the “By-Laws”) of the Company, or any license, permit, judgment, decree, order, statute, rule or regulation applicable to the Company or any of its assets, except in the case of a conflict, violation, lien, charge or other encumbrance (except with respect to the Company’s Articles of Incorporation or By-Laws) which would not, or could not reasonably be expected to, have a Company Material Adverse Effect. No consent, approval, authorization or other order of, or registration, qualification or filing with, any regulatory body, administrative agency, or other governmental body is required for the execution and delivery of this Agreement by the Company and the valid issuance or sale of the Shares, the Warrants, the Broker Warrants and the Warrant Shares by the Company pursuant to this Agreement, other than such as have been made or obtained and that remain in full force and effect, and except for the filing of a Form D or any filings required to be made under state securities laws, which shall be timely filed by the Company.</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908" w:right="239" w:bottom="1440" w:gutter="0" w:footer="0" w:header="0"/>
        </w:sectPr>
      </w:pPr>
    </w:p>
    <w:bookmarkStart w:id="91" w:name="page92"/>
    <w:bookmarkEnd w:id="91"/>
    <w:p>
      <w:pPr>
        <w:jc w:val="both"/>
        <w:ind w:firstLine="1305"/>
        <w:spacing w:after="0" w:line="267" w:lineRule="auto"/>
        <w:tabs>
          <w:tab w:leader="none" w:pos="217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Company’s financial statements, together with the related notes, if any, included in the Subscription Documents or the Company’s SEC Filings, present fairly, in all material respects, the financial position of the Company as of the dates specified and the results of operations for the periods covered thereby. Such financial statements and related notes were prepared in accordance with United States generally accepted accounting principles applied on a consistent basis throughout the periods indicated, except that the unaudited financial statements omit full notes, and except for normal year end adjustments. If the financials for the Company are unaudited financial statements, it will state such clearly on the financials. During the period of engagement of the Company’s independent certified public accountants, there have been no disagreements between the accounting firm and the Company on any matters of accounting principles or practices, financial statement disclosure or auditing scope or procedures. The Company has made and kept books and records and accounts which are in reasonable detail and which fairly and accurately reflect the activities of the Company in all material respects, subject only to year-end adjustments. Except as set forth in such financial statements or otherwise disclosed in the Subscription Documents, the Company’s senior management has no knowledge of any material liabilities of any kind, whether accrued, absolute or contingent, or otherwise, and subsequent to the date of the Subscription Documents and prior to the date of the Closing, it shall not enter into any material transactions or commitments without promptly thereafter notifying the Agent, the purchasers in the Offering in writing of any such material transaction or commitment. The other financial and statistical information with respect to the Company and any pro forma information and related notes included in the SEC Filings present fairly the information shown therein on a basis consistent with the financial statements of the Company included in the SEC Filings. Except as disclosed in the Subscription Documents, the Company does not know of any facts, circumstances or conditions which could materially adversely affect its operations, earnings or prospects that have not been fully disclosed in the financial statements appearing in the SEC Filings or other financial statements appearing in the SEC Filings or other documents or information provided by the Company.</w:t>
      </w:r>
    </w:p>
    <w:p>
      <w:pPr>
        <w:spacing w:after="0" w:line="192" w:lineRule="exact"/>
        <w:rPr>
          <w:rFonts w:ascii="Arial" w:cs="Arial" w:eastAsia="Arial" w:hAnsi="Arial"/>
          <w:sz w:val="17"/>
          <w:szCs w:val="17"/>
          <w:color w:val="auto"/>
        </w:rPr>
      </w:pPr>
    </w:p>
    <w:p>
      <w:pPr>
        <w:jc w:val="both"/>
        <w:ind w:firstLine="1305"/>
        <w:spacing w:after="0" w:line="271" w:lineRule="auto"/>
        <w:tabs>
          <w:tab w:leader="none" w:pos="1959" w:val="left"/>
        </w:tabs>
        <w:numPr>
          <w:ilvl w:val="0"/>
          <w:numId w:val="97"/>
        </w:numPr>
        <w:rPr>
          <w:rFonts w:ascii="Arial" w:cs="Arial" w:eastAsia="Arial" w:hAnsi="Arial"/>
          <w:sz w:val="17"/>
          <w:szCs w:val="17"/>
          <w:color w:val="auto"/>
        </w:rPr>
      </w:pPr>
      <w:r>
        <w:rPr>
          <w:rFonts w:ascii="Arial" w:cs="Arial" w:eastAsia="Arial" w:hAnsi="Arial"/>
          <w:sz w:val="17"/>
          <w:szCs w:val="17"/>
          <w:color w:val="auto"/>
        </w:rPr>
        <w:t>Immediately prior to the Closing, the Shares, the Warrants, the Warrant Shares, the Broker Warrants and the Shares underlying the Broker Warrants (“Broker Warrant Shares”) will have been duly authorized and, when issued and delivered against payment therefor as provided in the Company Transaction Documents, will be validly issued, fully paid and nonassessable. No holder of any of the Shares, Warrants Shares or Broker Warrant Shares will be subject to personal liability solely by reason of being such a holder, and except as described in the Subscription Documents, none of the Shares, Warrants, Warrant Shares, Broker Warrants or Broker Warrant Shares will be subject to preemptive or similar rights of any stockholder or security holder of the Company or an adjustment under the antidilution or exercise rights of any holders of any outstanding shares of capital stock, options, warrants or other rights to acquire any securities of the Company. Immediately prior to the Closing, a sufficient number of authorized but unissued shares of Common Stock will have been reserved for issuance upon the exercise of the Warrants and the Brokers Warrants.</w:t>
      </w:r>
    </w:p>
    <w:p>
      <w:pPr>
        <w:spacing w:after="0" w:line="178" w:lineRule="exact"/>
        <w:rPr>
          <w:rFonts w:ascii="Arial" w:cs="Arial" w:eastAsia="Arial" w:hAnsi="Arial"/>
          <w:sz w:val="17"/>
          <w:szCs w:val="17"/>
          <w:color w:val="auto"/>
        </w:rPr>
      </w:pPr>
    </w:p>
    <w:p>
      <w:pPr>
        <w:jc w:val="both"/>
        <w:ind w:firstLine="1305"/>
        <w:spacing w:after="0" w:line="268" w:lineRule="auto"/>
        <w:tabs>
          <w:tab w:leader="none" w:pos="199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Except as described in the Subscription Documents and/or the Company’s SEC Filings and for the Warrants and Broker Warrants, and as of the date of the Closing: (i) there will be no outstanding options, stock subscription agreements, warrants or other rights permitting or requiring the Company or others to purchase or acquire any shares of capital stock or other equity securities of the Company or to pay any dividend or make any other distribution in respect thereof; (ii) there will be no securities issued or outstanding which are convertible into or exchangeable for any of the foregoing and there are no contracts, commitments or understandings, whether or not in writing, to issue or grant any such option, warrant, right or convertible or exchangeable security; (iii) no Securities of the Company or other securities of the Company are reserved for issuance for any purpose; (iv) there will be no voting trusts or other contracts, commitments, understandings, arrangements or restrictions of any kind with respect to the ownership, voting or transfer of shares of stock or other securities of the Company, including, without limitation, any preemptive rights, rights of first refusal, proxies or similar rights, and (v) no person prior to the execution of this Agreement by the Company holds a right to require the Company to register any securities of the Company under the Act or to participate in any such registration. Immediately prior to the Closing, the issued and outstanding shares of capital stock of the Company will conform in all material respects to all statements in relation thereto contained in the Company’s SEC Filings and the Company’s SEC Filings describe all material terms and conditions thereof. All issuances by the Company of its securities have been issued pursuant to either a current effective registration statement under the 1933 Act or an exemption from registration requirements under the Act, and were issued in accordance with any applicable Federal and state securities laws.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08" w:right="239" w:bottom="1440" w:gutter="0" w:footer="0" w:header="0"/>
        </w:sectPr>
      </w:pPr>
    </w:p>
    <w:bookmarkStart w:id="92" w:name="page93"/>
    <w:bookmarkEnd w:id="92"/>
    <w:p>
      <w:pPr>
        <w:jc w:val="both"/>
        <w:ind w:firstLine="1305"/>
        <w:spacing w:after="0" w:line="286" w:lineRule="auto"/>
        <w:tabs>
          <w:tab w:leader="none" w:pos="1976" w:val="left"/>
        </w:tabs>
        <w:numPr>
          <w:ilvl w:val="1"/>
          <w:numId w:val="98"/>
        </w:numPr>
        <w:rPr>
          <w:rFonts w:ascii="Arial" w:cs="Arial" w:eastAsia="Arial" w:hAnsi="Arial"/>
          <w:sz w:val="16"/>
          <w:szCs w:val="16"/>
          <w:color w:val="auto"/>
        </w:rPr>
      </w:pPr>
      <w:r>
        <w:rPr>
          <w:rFonts w:ascii="Arial" w:cs="Arial" w:eastAsia="Arial" w:hAnsi="Arial"/>
          <w:sz w:val="16"/>
          <w:szCs w:val="16"/>
          <w:color w:val="auto"/>
        </w:rPr>
        <w:t>Except as described in the Subscription Documents and/or the Company’s SEC Filings, the Company has no subsidiaries and does not own any equity interest and has not made any loans or advances to or guarantees of indebtedness to any person, corporation, partnership or other entity and is not a party to any joint venture. The Company’s subsidiaries are duly incorporated or organized, validly existing and in good standing under the laws of their jurisdiction of incorporation or organization and have all requisite power and authority to carry on their business as now conducted. Such subsidiaries are duly qualified to transact business and is in good standing in each jurisdiction in which the failure to so qualify would have a material adverse effect on their respective business or properties. All of the outstanding capital stock or other voting securities of such subsidiaries are owned by the Company, directly or indirectly, free and clear of any liens, claims, or encumbrances. The conduct of business by the Company as presently and proposed to be conducted is not subject to continuing oversight, supervision, regulation or examination by any governmental official or body of the United States, or any other jurisdiction wherein the Company conducts or proposes to conduct such business, except as described in the Subscription Documents and/or the Company’s SEC Filings and except as such regulation is applicable to US public companies and commercial enterprises generally. The Company has obtained all material licenses, permits and other governmental authorizations necessary to conduct its business as presently conducted. The Company has not received any notice of any violation of, or noncompliance with, any federal, state, local or foreign laws, ordinances, regulations and orders (including, without limitation, those relating to environmental protection, occupational safety and health, securities laws, equal employment opportunity, consumer protection, credit reporting, “truth-in-lending”, and warranties and trade practices) applicable to its business, the violation of, or noncompliance with, would have a Company Material Adverse Effect, and the Company knows of no facts or set of circumstances which could give rise to such a notice.</w:t>
      </w:r>
    </w:p>
    <w:p>
      <w:pPr>
        <w:spacing w:after="0" w:line="168" w:lineRule="exact"/>
        <w:rPr>
          <w:rFonts w:ascii="Arial" w:cs="Arial" w:eastAsia="Arial" w:hAnsi="Arial"/>
          <w:sz w:val="16"/>
          <w:szCs w:val="16"/>
          <w:color w:val="auto"/>
        </w:rPr>
      </w:pPr>
    </w:p>
    <w:p>
      <w:pPr>
        <w:jc w:val="both"/>
        <w:ind w:firstLine="1305"/>
        <w:spacing w:after="0" w:line="255" w:lineRule="auto"/>
        <w:tabs>
          <w:tab w:leader="none" w:pos="2089" w:val="left"/>
        </w:tabs>
        <w:numPr>
          <w:ilvl w:val="1"/>
          <w:numId w:val="98"/>
        </w:numPr>
        <w:rPr>
          <w:rFonts w:ascii="Arial" w:cs="Arial" w:eastAsia="Arial" w:hAnsi="Arial"/>
          <w:sz w:val="18"/>
          <w:szCs w:val="18"/>
          <w:color w:val="auto"/>
        </w:rPr>
      </w:pPr>
      <w:r>
        <w:rPr>
          <w:rFonts w:ascii="Arial" w:cs="Arial" w:eastAsia="Arial" w:hAnsi="Arial"/>
          <w:sz w:val="18"/>
          <w:szCs w:val="18"/>
          <w:color w:val="auto"/>
        </w:rPr>
        <w:t>Except as described in the Subscription Documents and/or the Company’s SEC Filings, no default by the Company or, to the knowledge of the Company, any other party, exists in the due performance under any material agreement to which the Company is a party or to which any of its assets is subject (collectively, the “Company Agreements”). The Company Agreements, if any, disclosed in the Subscription Documents and/or the Company’s SEC Filings are accurately described in the Subscription Documents and/or the Company’s SEC Filings and are in full force and effect in accordance with their respective terms, subject to any applicable bankruptcy, insolvency or other laws affecting the rights of creditors generally and to general equitable principles and the availability of specific performance.</w:t>
      </w:r>
    </w:p>
    <w:p>
      <w:pPr>
        <w:spacing w:after="0" w:line="193" w:lineRule="exact"/>
        <w:rPr>
          <w:rFonts w:ascii="Arial" w:cs="Arial" w:eastAsia="Arial" w:hAnsi="Arial"/>
          <w:sz w:val="18"/>
          <w:szCs w:val="18"/>
          <w:color w:val="auto"/>
        </w:rPr>
      </w:pPr>
    </w:p>
    <w:p>
      <w:pPr>
        <w:jc w:val="both"/>
        <w:ind w:firstLine="1305"/>
        <w:spacing w:after="0" w:line="286" w:lineRule="auto"/>
        <w:tabs>
          <w:tab w:leader="none" w:pos="1968" w:val="left"/>
        </w:tabs>
        <w:numPr>
          <w:ilvl w:val="1"/>
          <w:numId w:val="98"/>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the Subscription Documents, the Company has operated its business in the ordinary course and, except as may otherwise be set forth in the Subscription Documents or the Company’s SEC Filings, there has been no: (i) Company Material Adverse Effect; (ii) material transaction otherwise than in the ordinary course of business consistent with past practice; (iii) issuance of any securities (debt or equity) or any rights to acquire any such securities other than pursuant to equity incentive plans approved by its Board of Directors;</w:t>
      </w:r>
    </w:p>
    <w:p>
      <w:pPr>
        <w:spacing w:after="0" w:line="1" w:lineRule="exact"/>
        <w:rPr>
          <w:rFonts w:ascii="Arial" w:cs="Arial" w:eastAsia="Arial" w:hAnsi="Arial"/>
          <w:sz w:val="16"/>
          <w:szCs w:val="16"/>
          <w:color w:val="auto"/>
        </w:rPr>
      </w:pPr>
    </w:p>
    <w:p>
      <w:pPr>
        <w:ind w:firstLine="8"/>
        <w:spacing w:after="0" w:line="261" w:lineRule="auto"/>
        <w:tabs>
          <w:tab w:leader="none" w:pos="321" w:val="left"/>
        </w:tabs>
        <w:numPr>
          <w:ilvl w:val="0"/>
          <w:numId w:val="99"/>
        </w:numPr>
        <w:rPr>
          <w:rFonts w:ascii="Arial" w:cs="Arial" w:eastAsia="Arial" w:hAnsi="Arial"/>
          <w:sz w:val="18"/>
          <w:szCs w:val="18"/>
          <w:color w:val="auto"/>
        </w:rPr>
      </w:pPr>
      <w:r>
        <w:rPr>
          <w:rFonts w:ascii="Arial" w:cs="Arial" w:eastAsia="Arial" w:hAnsi="Arial"/>
          <w:sz w:val="18"/>
          <w:szCs w:val="18"/>
          <w:color w:val="auto"/>
        </w:rPr>
        <w:t>damage, loss or destruction, whether or not covered by insurance, with respect to any material asset or property of the Company; or (v) agreement to permit any of the foregoing.</w:t>
      </w:r>
    </w:p>
    <w:p>
      <w:pPr>
        <w:spacing w:after="0" w:line="183" w:lineRule="exact"/>
        <w:rPr>
          <w:rFonts w:ascii="Arial" w:cs="Arial" w:eastAsia="Arial" w:hAnsi="Arial"/>
          <w:sz w:val="18"/>
          <w:szCs w:val="18"/>
          <w:color w:val="auto"/>
        </w:rPr>
      </w:pPr>
    </w:p>
    <w:p>
      <w:pPr>
        <w:jc w:val="both"/>
        <w:ind w:firstLine="1305"/>
        <w:spacing w:after="0" w:line="291" w:lineRule="auto"/>
        <w:tabs>
          <w:tab w:leader="none" w:pos="1998" w:val="left"/>
        </w:tabs>
        <w:numPr>
          <w:ilvl w:val="1"/>
          <w:numId w:val="99"/>
        </w:numPr>
        <w:rPr>
          <w:rFonts w:ascii="Arial" w:cs="Arial" w:eastAsia="Arial" w:hAnsi="Arial"/>
          <w:sz w:val="16"/>
          <w:szCs w:val="16"/>
          <w:color w:val="auto"/>
        </w:rPr>
      </w:pPr>
      <w:r>
        <w:rPr>
          <w:rFonts w:ascii="Arial" w:cs="Arial" w:eastAsia="Arial" w:hAnsi="Arial"/>
          <w:sz w:val="16"/>
          <w:szCs w:val="16"/>
          <w:color w:val="auto"/>
        </w:rPr>
        <w:t>Except as set forth in the Subscription Documents and/or the Company’s SEC Filings, there are no actions, suits, claims, hearings or proceedings pending before any court or governmental authority or, to the knowledge of the Company, threatened, against the Company, or involving its assets or any of its officers or directors (in their capacity as such) which, (i) if determined adversely to the Company or such officer or director, could reasonably be expected to have a Company Material Adverse Effect or adversely affect the transactions contemplated by this Agreement or the Company Transaction Documents (as defined in this Agreement) or the enforceability hereof or (ii) would be required to be disclosed in the Company’s Annual Report on Form 10-K under the requirements of Item 103 of Regulation S-K. The Company is not subject to any injunction, judgment, decree or order of any court, regulatory body, arbitral panel, administrative agency or other government body that would have a Company Material Adverse Effect.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908" w:right="239" w:bottom="1440" w:gutter="0" w:footer="0" w:header="0"/>
        </w:sectPr>
      </w:pPr>
    </w:p>
    <w:bookmarkStart w:id="93" w:name="page94"/>
    <w:bookmarkEnd w:id="93"/>
    <w:p>
      <w:pPr>
        <w:jc w:val="both"/>
        <w:ind w:firstLine="1305"/>
        <w:spacing w:after="0" w:line="270" w:lineRule="auto"/>
        <w:tabs>
          <w:tab w:leader="none" w:pos="195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Articles of Incorporation and By-laws of the Company are true, correct and complete copies of the certificate of incorporation and bylaws of the Company, as in effect on the date hereof. Any subsequent amendments to the certificate of incorporation or bylaws will be provided promptly to the Agent and the investors in the Offering. The Company is not: (i) in violation of its Articles of Incorporation or By-Laws; (ii) in default of any contract, indenture, mortgage, deed of trust, note, loan agreement, security agreement, lease, alliance agreement, joint venture agreement or other agreement, license, permit, consent, approval or instrument to which the Company is a party or by which it is or may be bound or to which any of its assets may be subject, the default of which could reasonably be expected to have a Company Material Adverse Effect; (iii) in violation of any statute, rule or regulation applicable to the Company, the violation of which would have a Company Material Adverse Effect; or (iv) in violation of any judgment, decree or order of any court or governmental body having jurisdiction over the Company and specifically naming the Company, which violation or violations individually, or in the aggregate, could reasonably be expected to have a Company Material Adverse Effect.</w:t>
      </w:r>
    </w:p>
    <w:p>
      <w:pPr>
        <w:spacing w:after="0" w:line="181" w:lineRule="exact"/>
        <w:rPr>
          <w:rFonts w:ascii="Arial" w:cs="Arial" w:eastAsia="Arial" w:hAnsi="Arial"/>
          <w:sz w:val="17"/>
          <w:szCs w:val="17"/>
          <w:color w:val="auto"/>
        </w:rPr>
      </w:pPr>
    </w:p>
    <w:p>
      <w:pPr>
        <w:jc w:val="both"/>
        <w:ind w:right="20" w:firstLine="1305"/>
        <w:spacing w:after="0" w:line="259" w:lineRule="auto"/>
        <w:tabs>
          <w:tab w:leader="none" w:pos="21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Except as disclosed in the Subscription Documents and/or the Company’s SEC Filings, as of the date of this Agreement, no current or former stockholder, director, officer or employee of the Company, nor, to the knowledge of the Company, any affiliate of any such person is presently, directly or indirectly through his/her affiliation with any other person or entity, a party to any loan from the Company or any other transaction (other than as an employee) with the Company.</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02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is not obligated to pay, and has not obligated the Agent to pay, a finder’s or origination fee in connection with the Offering other than to the Agent under this Agreement, and hereby agrees to indemnify the Agent from any such claim made by any other person as more fully set forth in Section 8 hereof. Except as set forth in the Subscription Documents, no other person has any right to participate in any offer, sale or distribution of the Company’s securities to which the Agent’s rights, described herein, shall apply.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Until the earlier of (i) the Termination Date or (ii) the Closing (as hereinafter defined), the Company will not issue any press release, grant any interview, or otherwise communicate with the media in any manner whatsoever with respect to the Offering without the Agent’s prior written consent, which consent will not unreasonably be withheld or delayed, and subject to any applicable laws and regulations.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7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representation or warranty contained in Section 2A of this Agreement contains any untrue statement of a material fact or omits to state a material fact necessary to make the statements herein not misleading in the context of such representations and warranties. The Agent shall be entitled to rely on such representations and warranties.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02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consent, authorization or filing of or with any court or governmental authority is required in connection with the transactions contemplated herein or in the other Company Transaction Documents, except for required filings with the SEC and the applicable state securities commissions relating specifically to the Offering (all of which filings will be duly made by, or on behalf of, the Company), and those which are required to be made after the Closing (all of which will be duly made on a timely basis).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908" w:right="239" w:bottom="1440" w:gutter="0" w:footer="0" w:header="0"/>
        </w:sectPr>
      </w:pPr>
    </w:p>
    <w:bookmarkStart w:id="94" w:name="page95"/>
    <w:bookmarkEnd w:id="94"/>
    <w:p>
      <w:pPr>
        <w:jc w:val="both"/>
        <w:ind w:firstLine="1305"/>
        <w:spacing w:after="0" w:line="282" w:lineRule="auto"/>
        <w:tabs>
          <w:tab w:leader="none" w:pos="197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Neither the sale of the Securities by the Company nor its use of the proceeds thereof will violate the Trading with the Enemy Act, as amended, nor any of the foreign assets control regulations of the United States Treasury Department (31 CFR, Subtitle B, Chapter V, as amended) or any enabling legislation or executive order relating thereto. Without limiting the foregoing, the Company is not (a) a person whose property or interests in property are blocked pursuant to Section 1 of Executive Order 13224 of September 23, 2001 Blocking Property and Prohibiting Transactions with Persons Who Commit, Threaten to Commit, or Support Terrorism (66 Fed. Reg. 49079 (2001)) or (b) a person who engages in any dealings or transactions, or be otherwise associated, with any such person. The Company and its subsidiaries, if any, are in compliance, in all material respects, with the USA Patriot Act of 2001 (signed into law October 26, 2001). Each of the Company, its affiliates and any of their respective officers, directors, supervisors, managers, agents, or employees, has not violated, and its participation in the offering will not violate, and the Company has instituted and maintains policies and procedures designed to ensure continued compliance with, each of the following laws: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 1956 and 1957,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laws and regulations imposing U.S. economic sanctions measures, including, but not limited to, the International Emergency Economic Powers Act, the United Nations Participation Act and the Syria Accountability and Lebanese Sovereignty Act, all as amended, and any executive Order, directive, or regulation pursuant to the authority of any of the foregoing, including the regulations of the United States Treasury Department set forth under 31 CFR, Subtitle B, Chapter V, as amended, or any orders or licenses issued thereunder. Neither the Company nor any director, officer, agent, employee or other person acting on behalf of the Company has, in the course of its actions for, or on behalf of, the Company (i) used any corporate funds for any unlawful contribution, gift, entertainment or other unlawful expenses relating to political activity;</w:t>
      </w:r>
    </w:p>
    <w:p>
      <w:pPr>
        <w:spacing w:after="0" w:line="12" w:lineRule="exact"/>
        <w:rPr>
          <w:rFonts w:ascii="Arial" w:cs="Arial" w:eastAsia="Arial" w:hAnsi="Arial"/>
          <w:sz w:val="16"/>
          <w:szCs w:val="16"/>
          <w:color w:val="auto"/>
        </w:rPr>
      </w:pPr>
    </w:p>
    <w:p>
      <w:pPr>
        <w:ind w:firstLine="8"/>
        <w:spacing w:after="0" w:line="290" w:lineRule="auto"/>
        <w:tabs>
          <w:tab w:leader="none" w:pos="29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made any direct or indirect unlawful payment to any foreign or domestic government official or employee from corporate funds; or (iii) made any unlawful bribe, rebate, payoff, influence payment, kickback or other unlawful payment to any foreign or domestic government official or employee.</w:t>
      </w:r>
    </w:p>
    <w:p>
      <w:pPr>
        <w:spacing w:after="0" w:line="161" w:lineRule="exact"/>
        <w:rPr>
          <w:rFonts w:ascii="Arial" w:cs="Arial" w:eastAsia="Arial" w:hAnsi="Arial"/>
          <w:sz w:val="17"/>
          <w:szCs w:val="17"/>
          <w:color w:val="auto"/>
        </w:rPr>
      </w:pPr>
    </w:p>
    <w:p>
      <w:pPr>
        <w:jc w:val="both"/>
        <w:ind w:firstLine="1305"/>
        <w:spacing w:after="0" w:line="290" w:lineRule="auto"/>
        <w:tabs>
          <w:tab w:leader="none" w:pos="211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None of Company, any of its predecessors, any affiliated issuer, any director, executive officer, other officer of the Company participating in the Offering, any beneficial owner of 20% or more of the Company’s outstanding voting equity securities, calculated on the basis of voting power, nor any promoter (as that term is defined in Rule 405 under the Securities Act) connected with the Company in any capacity at the time of sale (each, an “Issuer Covered Person” and, together, “Issuer Covered Persons”) is subject to any of the “Bad Actor” disqualifications described in Rule 506(d)(1)(i)– (viii) under the Securities Act (a “Disqualification Event”), except for a Disqualification Event covered by Rule 506(d)(2) or (d)(3) or has been involved in any matter which would be a Disqualification Event except for the fact that it occurred before September 23, 2013. The Company has exercised reasonable care to determine whether any Issuer Covered Person is subject to a Disqualification Event. The Company has complied, to the extent applicable, with its disclosure obligations under Rule 506(e), and has furnished to the Agent a copy of any disclosures provided thereunder.</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480" w:type="dxa"/>
            <w:vAlign w:val="bottom"/>
            <w:tcBorders>
              <w:bottom w:val="single" w:sz="8" w:color="auto"/>
            </w:tcBorders>
          </w:tcPr>
          <w:p>
            <w:pPr>
              <w:jc w:val="right"/>
              <w:ind w:right="557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909" w:right="239" w:bottom="1440" w:gutter="0" w:footer="0" w:header="0"/>
        </w:sectPr>
      </w:pPr>
    </w:p>
    <w:bookmarkStart w:id="95" w:name="page96"/>
    <w:bookmarkEnd w:id="95"/>
    <w:p>
      <w:pPr>
        <w:jc w:val="both"/>
        <w:ind w:firstLine="1305"/>
        <w:spacing w:after="0" w:line="259" w:lineRule="auto"/>
        <w:tabs>
          <w:tab w:leader="none" w:pos="19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is not aware of any person (other than any Issuer Covered Person or Agent Covered Person (as defined below) that has been or will be paid (directly or indirectly) remuneration for solicitation of purchasers in connection with the sale of any the Securities. For purposes of this subsection Agent Covered Persons shall mean Katalyst Securities LLC, or any of its directors, executive officers, general partners, managing members or other officers participating in the Offering.</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02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will promptly notify the Agent in writing of (A) any Disqualification Event relating to any Issuer Covered Person and (B) any event that would, with the passage of time, become a Disqualification Event relating to any Issuer Covered Person. The Company will notify the Agent in writing, prior to the Closing Date of (i) any Disqualification Event relating to any Issuer Covered Person and (ii) any event that would, with the passage of time, become a Disqualification Event relating to any Issuer Covered Person.</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195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authorized capital stock of the Company as of the Closing will be set forth in the Subscription Agreement. As of the Closing, the Company’s issued and outstanding capital stock will be set forth in the Subscription Agreement. All issued and outstanding shares of capital stock have been duly authorized and validly issued, are fully paid and nonassessable, were not issued in violation of any preemptive rights or similar rights to subscribe for or purchase securities, and, except as disclosed in the Company’s SEC Filings, have been issued and sold in compliance with the registration requirements of federal and state securities laws or the applicable statutes of limitation have expired. Except as set forth in the Subscription Agreement and the Company’s SEC Filings, there are no (i) outstanding rights (including, without limitation, preemptive rights), warrants or options to acquire, or instruments convertible into or exchangeable for, any unissued shares of capital stock or other equity interest in the Company, or any contract, commitment, agreement, understanding or arrangement of any kind to which the Company or its subsidiaries is a party and relating to the issuance or sale of any capital stock or convertible or exchangeable security of the Company; or (ii) obligations of the Company to purchase redeem or otherwise acquire any of its outstanding capital stock or any interest therein or to pay any dividend or make any other distribution in respect thereof.</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908" w:right="239" w:bottom="1440" w:gutter="0" w:footer="0" w:header="0"/>
        </w:sectPr>
      </w:pPr>
    </w:p>
    <w:bookmarkStart w:id="96" w:name="page97"/>
    <w:bookmarkEnd w:id="96"/>
    <w:p>
      <w:pPr>
        <w:jc w:val="both"/>
        <w:ind w:firstLine="1305"/>
        <w:spacing w:after="0" w:line="282" w:lineRule="auto"/>
        <w:tabs>
          <w:tab w:leader="none" w:pos="210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Company has ownership or license or legal right to use all patents, copyrights, trade secrets, know-how, trademarks, trade names, customer lists, designs, manufacturing or other processes, computer software, systems, data compilation, research results or other proprietary rights used in the business of the Company or its subsidiaries (collectively “Intellectual Property”). All of such patents, registered trademarks and registered copyrights have been duly registered in, filed in or issued by the United States Patent and Trademark Office, the United States Register of Copyrights or the corresponding offices of other jurisdictions and have been maintained and renewed in accordance with all applicable provisions of law and administrative regulations in the United States and all such jurisdictions. The Company believes it has taken all reasonable steps required in accordance with sound business practice and business judgment to establish and preserve its and its subsidiaries’ ownership of all material Intellectual Property with respect to their products and technology. To the knowledge of the Company, there is no infringement of the Intellectual Property by any third party. To the knowledge of the Company, the present business, activities and products of the Company and its subsidiaries do not infringe any intellectual property of any other person. There is no proceeding charging the Company or its subsidiaries with infringement of any adversely held Intellectual Property has been filed and the Company is unaware of any facts which are reasonably likely to form a basis for any such proceeding. There are no proceedings have been instituted or pending or, to the knowledge of the Company, threatened, which challenge the rights of the Company or its subsidiaries to the use of the Intellectual Property. The Intellectual Property owned by the Company and its subsidiaries, and to the knowledge of the Company, the Intellectual Property licensed to the Company and its subsidiaries, has not been adjudged invalid or unenforceable, in whole or in part. There is no pending or, to the knowledge of the Company, threatened proceeding by others challenging the validity or scope of any such Intellectual Property, and the Company is unaware of any facts which are reasonably likely to form a basis for any such claim. Each of the Company and its subsidiaries has the right to use, free and clear of material claims or rights of other persons, all of its customer lists, designs, computer software, systems, data compilations, and other information that are required for its products or its business as presently conducted. Neither the Company nor its subsidiaries is making unauthorized use of any confidential information or trade secrets of any person. The activities of any of the employees on behalf of the Company or of its subsidiaries do not violate any agreements or arrangements between such employees and third parties are related to confidential information or trade secrets of third parties or that restrict any such employee’s engagement in business activity of any nature. Each former and current employee or consultant of the Company or its subsidiaries is a party to a written contract with the Company or its subsidiaries that assigns to the Company or its subsidiaries, or has received an employee handbook that requires an employee to assign, all rights to all inventions, improvements, discoveries and information relating to the Company or its subsidiaries, except for any failure to so do as would not reasonably be expected to result in a Material Adverse Effect. All licenses or other agreements under which (i) the Company or its subsidiaries employs rights in Intellectual Property, or</w:t>
      </w:r>
    </w:p>
    <w:p>
      <w:pPr>
        <w:spacing w:after="0" w:line="11" w:lineRule="exact"/>
        <w:rPr>
          <w:rFonts w:ascii="Arial" w:cs="Arial" w:eastAsia="Arial" w:hAnsi="Arial"/>
          <w:sz w:val="16"/>
          <w:szCs w:val="16"/>
          <w:color w:val="auto"/>
        </w:rPr>
      </w:pPr>
    </w:p>
    <w:p>
      <w:pPr>
        <w:jc w:val="both"/>
        <w:ind w:firstLine="8"/>
        <w:spacing w:after="0" w:line="255" w:lineRule="auto"/>
        <w:tabs>
          <w:tab w:leader="none" w:pos="2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or its subsidiaries has granted rights to others in Intellectual Property owned or licensed by the Company or its subsidiaries are in full force and effect, and there is no default (and there exists no condition which, with the passage of time or otherwise, would constitute a default by the Company or such subsidiary) by the Company or its subsidiaries with respect thereto.</w:t>
      </w:r>
    </w:p>
    <w:p>
      <w:pPr>
        <w:spacing w:after="0" w:line="190" w:lineRule="exact"/>
        <w:rPr>
          <w:rFonts w:ascii="Arial" w:cs="Arial" w:eastAsia="Arial" w:hAnsi="Arial"/>
          <w:sz w:val="18"/>
          <w:szCs w:val="18"/>
          <w:color w:val="auto"/>
        </w:rPr>
      </w:pPr>
    </w:p>
    <w:p>
      <w:pPr>
        <w:jc w:val="both"/>
        <w:ind w:firstLine="1305"/>
        <w:spacing w:after="0" w:line="264" w:lineRule="auto"/>
        <w:tabs>
          <w:tab w:leader="none" w:pos="206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Marcum LLP, which expressed its opinion with respect to the consolidated financial statements contained in the Company SEC Documents, has advised the Company that it is or was, and to the knowledge of the Company it is or was, a registered independent public accounting firm as and when required by the Securities Act and the rules and regulations promulgated thereunder.</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97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 has filed all necessary federal, state, local and foreign income and franchise tax returns and have paid or accrued all taxes shown as due thereon, and the Company has no knowledge of a tax deficiency which has been or might be asserted or threatened against it by any taxing jurisdiction, other than any deficiency which the Company is contesting in good faith and with respect to which adequate reserves for payment have been established.</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2069"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 maintains and will continue to maintain insurance of the types and in the amounts that the Company reasonably believes are adequate for its business, including, but not limited to, insurance covering all real and personal property owned or leased by the Company against theft, damage, destruction, acts of vandalism and all other risks customarily insured against by similarly situated companies, all of which insurance is in full force and effect.</w:t>
      </w:r>
    </w:p>
    <w:p>
      <w:pPr>
        <w:spacing w:after="0" w:line="187" w:lineRule="exact"/>
        <w:rPr>
          <w:sz w:val="20"/>
          <w:szCs w:val="20"/>
          <w:color w:val="auto"/>
        </w:rPr>
      </w:pPr>
    </w:p>
    <w:p>
      <w:pPr>
        <w:jc w:val="both"/>
        <w:ind w:firstLine="1305"/>
        <w:spacing w:after="0" w:line="264" w:lineRule="auto"/>
        <w:tabs>
          <w:tab w:leader="none" w:pos="19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the Closing Date, all stock transfer or other taxes (other than income taxes) that are required to be paid in connection with the sale and transfer of the Securities and the Brokers Warrants will be, or will have been, fully paid or provided for by the Company and the Company will have complied with all laws imposing such taxes.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0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(including its subsidiaries) is not an “investment company” or an “affiliated person” of, or “promoter” or “principal underwriter” for an investment company, within the meaning of the Investment Company Act of 1940 and will not be deemed an “investment company” as a result of the transactions contemplated by the Offering.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908" w:right="239" w:bottom="1440" w:gutter="0" w:footer="0" w:header="0"/>
        </w:sectPr>
      </w:pPr>
    </w:p>
    <w:bookmarkStart w:id="97" w:name="page98"/>
    <w:bookmarkEnd w:id="97"/>
    <w:p>
      <w:pPr>
        <w:ind w:firstLine="1305"/>
        <w:spacing w:after="0" w:line="277" w:lineRule="auto"/>
        <w:tabs>
          <w:tab w:leader="none" w:pos="20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books, records and accounts of the Company accurately and fairly reflect, in reasonable detail, the transactions in, and dispositions of, the assets of, and the operations of, the Company.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0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Company’s report on its disclosure controls and procedures (as such term is defined in Rule 13a-15 under the Securities Exchange Act of 1934 (the “Exchange Act”), is set forth in its SEC Filings, including its most recent Quarterly Report on Form 10-Q and its Annual Report on Form 10-K for the year ended December 31, 2016.</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3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Neither the Company, nor any of its affiliates, nor any person acting on its or their behalf, has engaged or will engage in any form of general solicitation or general advertising (within the meaning of Regulation D promulgated under the Securities Act) in connection with the offer or sale of the Securities.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0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any and all applicable requirements of the Sarbanes-Oxley Act of 2002 that are effective as of the date hereof, and any and all applicable rules and regulations promulgated by the SEC thereunder that are effective as of the date hereof.</w:t>
      </w:r>
    </w:p>
    <w:p>
      <w:pPr>
        <w:spacing w:after="0" w:line="181" w:lineRule="exact"/>
        <w:rPr>
          <w:rFonts w:ascii="Arial" w:cs="Arial" w:eastAsia="Arial" w:hAnsi="Arial"/>
          <w:sz w:val="18"/>
          <w:szCs w:val="18"/>
          <w:color w:val="auto"/>
        </w:rPr>
      </w:pPr>
    </w:p>
    <w:p>
      <w:pPr>
        <w:jc w:val="both"/>
        <w:ind w:firstLine="1305"/>
        <w:spacing w:after="0" w:line="270" w:lineRule="auto"/>
        <w:tabs>
          <w:tab w:leader="none" w:pos="187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is not a party to any collective bargaining agreement or employs any member of a union. The Company believes that its relations with its employees are good. No executive officer of the Company (as defined in Rule 501(f) of Regulation D under the Securities Act) has notified the Company that such officer intends to leave the Company or otherwise terminate such officer’s employment with the Company. No executive officer of the Company, to the knowledge of the Company,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does not subject the Company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Company Material Adverse Effect.</w:t>
      </w:r>
    </w:p>
    <w:p>
      <w:pPr>
        <w:spacing w:after="0" w:line="181" w:lineRule="exact"/>
        <w:rPr>
          <w:rFonts w:ascii="Arial" w:cs="Arial" w:eastAsia="Arial" w:hAnsi="Arial"/>
          <w:sz w:val="17"/>
          <w:szCs w:val="17"/>
          <w:color w:val="auto"/>
        </w:rPr>
      </w:pPr>
    </w:p>
    <w:p>
      <w:pPr>
        <w:jc w:val="both"/>
        <w:ind w:firstLine="1305"/>
        <w:spacing w:after="0" w:line="255" w:lineRule="auto"/>
        <w:tabs>
          <w:tab w:leader="none" w:pos="186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None of the Company, its subsidiaries or any executive officer of the Company (as defined in Rule 501(f) of Regulation D under the Securities Act) has taken and will not take any action designed to or that might reasonably be expected to cause or result in an unlawful manipulation of the price of the Common Stock to facilitate the sale or resale of the Securities or the Warrant Shares. The Company confirms that, to its knowledge, with the exception of the proposed sale of Securities described in Schedule 4(c) to the Subscription Agreement, neither it nor any other person acting on its behalf has provided any of the potential investors or their agent or counsel with any information that constitutes or might constitute material, non-public information. The Company understands and confirms that the potential investors shall be relying on the foregoing representations in effecting transactions in securities of the Company.</w:t>
      </w:r>
    </w:p>
    <w:p>
      <w:pPr>
        <w:spacing w:after="0" w:line="189" w:lineRule="exact"/>
        <w:rPr>
          <w:rFonts w:ascii="Arial" w:cs="Arial" w:eastAsia="Arial" w:hAnsi="Arial"/>
          <w:sz w:val="18"/>
          <w:szCs w:val="18"/>
          <w:color w:val="auto"/>
        </w:rPr>
      </w:pPr>
    </w:p>
    <w:p>
      <w:pPr>
        <w:jc w:val="both"/>
        <w:ind w:firstLine="1305"/>
        <w:spacing w:after="0" w:line="255" w:lineRule="auto"/>
        <w:tabs>
          <w:tab w:leader="none" w:pos="20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the laws of the jurisdiction of its formation which is or could become applicable to any potential investor as a result of the transactions contemplated by the Offering, including, without limitation, the Company’s issuance of the Securities and any potential investor’s ownership of the Securities. The Company has not adopted a stockholder rights plan or similar arrangement relating to accumulations of beneficial ownership of its capital stock or a change in control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908" w:right="239" w:bottom="1440" w:gutter="0" w:footer="0" w:header="0"/>
        </w:sectPr>
      </w:pPr>
    </w:p>
    <w:bookmarkStart w:id="98" w:name="page99"/>
    <w:bookmarkEnd w:id="98"/>
    <w:p>
      <w:pPr>
        <w:ind w:firstLine="1305"/>
        <w:spacing w:after="0" w:line="277" w:lineRule="auto"/>
        <w:tabs>
          <w:tab w:leader="none" w:pos="211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acknowledges that the Agent, any sub agents, legal counsel to the Company and/or their respective affiliates, principals, representatives or employees may now or hereafter own shares of the Company.</w:t>
      </w:r>
    </w:p>
    <w:p>
      <w:pPr>
        <w:spacing w:after="0" w:line="166" w:lineRule="exact"/>
        <w:rPr>
          <w:sz w:val="20"/>
          <w:szCs w:val="20"/>
          <w:color w:val="auto"/>
        </w:rPr>
      </w:pPr>
    </w:p>
    <w:p>
      <w:pPr>
        <w:ind w:left="1920" w:hanging="615"/>
        <w:spacing w:after="0"/>
        <w:tabs>
          <w:tab w:leader="none" w:pos="19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and Covenants of Agent</w:t>
      </w:r>
      <w:r>
        <w:rPr>
          <w:rFonts w:ascii="Arial" w:cs="Arial" w:eastAsia="Arial" w:hAnsi="Arial"/>
          <w:sz w:val="18"/>
          <w:szCs w:val="18"/>
          <w:color w:val="auto"/>
        </w:rPr>
        <w:t>.</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Katalyst hereby represents and warrants to the Company that the following representations and warranties are true and correct as of the date of this Agreement:</w:t>
      </w:r>
    </w:p>
    <w:p>
      <w:pPr>
        <w:spacing w:after="0" w:line="170" w:lineRule="exact"/>
        <w:rPr>
          <w:sz w:val="20"/>
          <w:szCs w:val="20"/>
          <w:color w:val="auto"/>
        </w:rPr>
      </w:pPr>
    </w:p>
    <w:p>
      <w:pPr>
        <w:jc w:val="both"/>
        <w:ind w:firstLine="1305"/>
        <w:spacing w:after="0" w:line="257" w:lineRule="auto"/>
        <w:tabs>
          <w:tab w:leader="none" w:pos="20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Katalyst represents that neither it, nor to its knowledge any of its Sub-Agents or any of its or their respective directors, executive officers, general partners, managing members or other officers participating in the Offering (each, a “Katalyst Covered Person” and, together, “Katalyst Covered Persons”), is or will be subject to any of the “Bad Actor” disqualifications described in Rule 506(d)(1)(i) to (viii) under the Securities Act Disqualification Event or has or will have been involved in any matter which would be a Disqualification Event except for the fact that it occurred before September 23, 2013.</w:t>
      </w:r>
    </w:p>
    <w:p>
      <w:pPr>
        <w:spacing w:after="0" w:line="188" w:lineRule="exact"/>
        <w:rPr>
          <w:rFonts w:ascii="Arial" w:cs="Arial" w:eastAsia="Arial" w:hAnsi="Arial"/>
          <w:sz w:val="18"/>
          <w:szCs w:val="18"/>
          <w:color w:val="auto"/>
        </w:rPr>
      </w:pPr>
    </w:p>
    <w:p>
      <w:pPr>
        <w:ind w:right="20" w:firstLine="1305"/>
        <w:spacing w:after="0" w:line="277" w:lineRule="auto"/>
        <w:tabs>
          <w:tab w:leader="none" w:pos="203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Katalyst will notify the Company promptly in writing of any Disqualification Event relating to any Katalyst Covered Person not previously disclosed to the Company in accordance with the prior section.</w:t>
      </w:r>
    </w:p>
    <w:p>
      <w:pPr>
        <w:spacing w:after="0" w:line="166" w:lineRule="exact"/>
        <w:rPr>
          <w:rFonts w:ascii="Arial" w:cs="Arial" w:eastAsia="Arial" w:hAnsi="Arial"/>
          <w:sz w:val="18"/>
          <w:szCs w:val="18"/>
          <w:color w:val="auto"/>
        </w:rPr>
      </w:pPr>
    </w:p>
    <w:p>
      <w:pPr>
        <w:ind w:left="1280" w:hanging="624"/>
        <w:spacing w:after="0"/>
        <w:tabs>
          <w:tab w:leader="none" w:pos="12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Agent Compensation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59" w:lineRule="auto"/>
        <w:tabs>
          <w:tab w:leader="none" w:pos="195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In connection with the Offering, the Company will pay a cash fee (the “Katalyst Cash Fee”) to Katalyst at the Closing equal to Ten Percent (10%) of the Closing’s gross proceeds from any sale of Securities in the Offering during the Offering Period. The Katalyst Cash Fee shall be paid to Katalyst in cash by wire transfer from the escrow account established for the Offering, and as a condition to closing, simultaneous with the distribution of funds to the Company.</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215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Also, at the Closing, the Company will deliver to Katalyst (or its designees), warrants to purchase shares of the Company’s Common Stock, substantially in the form of Attachment I, equal, in the aggregate, to Ten Percent (10%) of the number of Securities sold in the Offering on which Katalyst receives compensation pursuant to Section 3(a), which warrants shall have a term of five years and an initial exercise price equal to the Market Value per share (the “Brokers Warrants”). To the extent permitted by applicable laws, all warrants shall permit unencumbered transfer to Katalyst’s employees and affiliates and the warrants may be issued directly to Katalyst’s employees and affiliates at Katalyst’s request. The Katalyst Cash Fee and the Broker Warrants are sometimes referred to collectively as the “Katalyst Broker Compensation”. All cash compensation and warrants under this Agreement shall be paid directly by the Company to and in the name provided to the Company by Katalyst.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908" w:right="239" w:bottom="1440" w:gutter="0" w:footer="0" w:header="0"/>
        </w:sectPr>
      </w:pPr>
    </w:p>
    <w:bookmarkStart w:id="99" w:name="page100"/>
    <w:bookmarkEnd w:id="99"/>
    <w:p>
      <w:pPr>
        <w:jc w:val="both"/>
        <w:ind w:firstLine="1305"/>
        <w:spacing w:after="0" w:line="269" w:lineRule="auto"/>
        <w:tabs>
          <w:tab w:leader="none" w:pos="2109" w:val="left"/>
        </w:tabs>
        <w:numPr>
          <w:ilvl w:val="1"/>
          <w:numId w:val="112"/>
        </w:numPr>
        <w:rPr>
          <w:rFonts w:ascii="Arial" w:cs="Arial" w:eastAsia="Arial" w:hAnsi="Arial"/>
          <w:sz w:val="17"/>
          <w:szCs w:val="17"/>
          <w:color w:val="auto"/>
        </w:rPr>
      </w:pPr>
      <w:r>
        <w:rPr>
          <w:rFonts w:ascii="Arial" w:cs="Arial" w:eastAsia="Arial" w:hAnsi="Arial"/>
          <w:sz w:val="17"/>
          <w:szCs w:val="17"/>
          <w:color w:val="auto"/>
        </w:rPr>
        <w:t>Provided that an Offering is consummated during the Offering Period, Katalyst shall be entitled to the Katalyst Cash Fee and Brokers Warrants calculated in the manner provided in Sections 3(a) and 3(b) above with respect to any subsequent public or private offering or other financing or capital-raising transaction of any kind (“Subsequent Financing”) to the extent that such financing or capital is provided the Company, or to any Affiliate of the Company, by investors whom the Agent had “introduced” (as defined below), directly or indirectly, to the Company during the Offering Period if such Subsequent Financing is consummated at any time within the twelve (12) month period following the earlier of expiration or termination of this Agreement or the closing of the Offering, if an Offering is consummated (the “Tail Period”). A party “introduced” by the respective Agent shall mean an investor who either (i) participated in the Offering, (ii) met with the Company and/or had a conversation with the Company either in person or via telephone regarding the Offering or (iii) was provided by the Agent with a copy of the Company’s offering memorandum (or other materials prepared and/or approved by the Company in connection with the Offering) (in each case of (i) – (iii), based upon such investor expressing an interest, directly or indirectly, to the Agent in investing in the Offering). An “Affiliate” of an entity shall mean any individual or entity controlling, controlled by or under common control with such entity and any officer, director, employee, stockholder, partner, member or agent of such entity.</w:t>
      </w:r>
    </w:p>
    <w:p>
      <w:pPr>
        <w:spacing w:after="0" w:line="178" w:lineRule="exact"/>
        <w:rPr>
          <w:rFonts w:ascii="Arial" w:cs="Arial" w:eastAsia="Arial" w:hAnsi="Arial"/>
          <w:sz w:val="17"/>
          <w:szCs w:val="17"/>
          <w:color w:val="auto"/>
        </w:rPr>
      </w:pPr>
    </w:p>
    <w:p>
      <w:pPr>
        <w:ind w:left="1280" w:hanging="624"/>
        <w:spacing w:after="0"/>
        <w:tabs>
          <w:tab w:leader="none" w:pos="12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Subscription and Closing Procedures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91" w:lineRule="auto"/>
        <w:tabs>
          <w:tab w:leader="none" w:pos="203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Company shall make available to the Agent and its representatives such information, including, but not limited to, financial information, and other information regarding the Company (the “Information”), as may be reasonably requested in making a reasonable investigation of the Company and its affairs. The Company shall provide access to the officers, directors, employees, independent accountants, legal counsel and other advisors and consultants of the Company as shall be reasonably requested by the Agent. The Company recognizes and agrees that the Agent (i) will use and rely primarily on the Information and generally available information from recognized public sources in performing the services contemplated by this Agreement without independently verifying the Information or such other information, (ii) does not assume responsibility for the accuracy of the Information or such other information, and (iii) will not make an appraisal of any assets or liabilities owned or controlled by the Company or its market competitors.</w:t>
      </w:r>
    </w:p>
    <w:p>
      <w:pPr>
        <w:spacing w:after="0" w:line="167" w:lineRule="exact"/>
        <w:rPr>
          <w:rFonts w:ascii="Arial" w:cs="Arial" w:eastAsia="Arial" w:hAnsi="Arial"/>
          <w:sz w:val="16"/>
          <w:szCs w:val="16"/>
          <w:color w:val="auto"/>
        </w:rPr>
      </w:pPr>
    </w:p>
    <w:p>
      <w:pPr>
        <w:jc w:val="both"/>
        <w:ind w:firstLine="1305"/>
        <w:spacing w:after="0" w:line="255" w:lineRule="auto"/>
        <w:tabs>
          <w:tab w:leader="none" w:pos="213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shall cause to be delivered to the Agent copies of the Subscription Documents and has consented, and hereby consents, to the use of such copies for the purposes permitted by the Act and applicable securities laws and in accordance with the terms and conditions of this Agreement, and hereby authorizes the Agent and its agents and employees to use the Subscription Documents in connection with the sale of the Securities until the earlier of (i) the Termination Date or (ii) the Closing, and no person or entity is or will be authorized to give any information or make any representations other than those contained in the Subscription Documents or to use any offering materials other than those contained in the Subscription Documents in connection with the sale of the Securities, unless the Company first provides the Agent with notification of such information, representations or offering materials.</w:t>
      </w:r>
    </w:p>
    <w:p>
      <w:pPr>
        <w:spacing w:after="0" w:line="189" w:lineRule="exact"/>
        <w:rPr>
          <w:rFonts w:ascii="Arial" w:cs="Arial" w:eastAsia="Arial" w:hAnsi="Arial"/>
          <w:sz w:val="18"/>
          <w:szCs w:val="18"/>
          <w:color w:val="auto"/>
        </w:rPr>
      </w:pPr>
    </w:p>
    <w:p>
      <w:pPr>
        <w:jc w:val="both"/>
        <w:ind w:firstLine="1305"/>
        <w:spacing w:after="0" w:line="286" w:lineRule="auto"/>
        <w:tabs>
          <w:tab w:leader="none" w:pos="2071" w:val="left"/>
        </w:tabs>
        <w:numPr>
          <w:ilvl w:val="1"/>
          <w:numId w:val="113"/>
        </w:numPr>
        <w:rPr>
          <w:rFonts w:ascii="Arial" w:cs="Arial" w:eastAsia="Arial" w:hAnsi="Arial"/>
          <w:sz w:val="17"/>
          <w:szCs w:val="17"/>
          <w:color w:val="auto"/>
        </w:rPr>
      </w:pPr>
      <w:r>
        <w:rPr>
          <w:rFonts w:ascii="Arial" w:cs="Arial" w:eastAsia="Arial" w:hAnsi="Arial"/>
          <w:sz w:val="17"/>
          <w:szCs w:val="17"/>
          <w:color w:val="auto"/>
        </w:rPr>
        <w:t>Each prospective purchaser in the Offering will be required to complete and execute the Subscription Documents, Anti-Money Laundering Form, Accredited Investor Certification and other documents which will be forwarded or delivered to the respective Agent at that respective Placement Agent’s offices at the address set forth in Section 12 hereof or to an address identified in the Subscription Documents.</w:t>
      </w:r>
    </w:p>
    <w:p>
      <w:pPr>
        <w:spacing w:after="0" w:line="165" w:lineRule="exact"/>
        <w:rPr>
          <w:rFonts w:ascii="Arial" w:cs="Arial" w:eastAsia="Arial" w:hAnsi="Arial"/>
          <w:sz w:val="17"/>
          <w:szCs w:val="17"/>
          <w:color w:val="auto"/>
        </w:rPr>
      </w:pPr>
    </w:p>
    <w:p>
      <w:pPr>
        <w:jc w:val="both"/>
        <w:ind w:firstLine="1305"/>
        <w:spacing w:after="0" w:line="270" w:lineRule="auto"/>
        <w:tabs>
          <w:tab w:leader="none" w:pos="2012" w:val="left"/>
        </w:tabs>
        <w:numPr>
          <w:ilvl w:val="1"/>
          <w:numId w:val="113"/>
        </w:numPr>
        <w:rPr>
          <w:rFonts w:ascii="Arial" w:cs="Arial" w:eastAsia="Arial" w:hAnsi="Arial"/>
          <w:sz w:val="17"/>
          <w:szCs w:val="17"/>
          <w:color w:val="auto"/>
        </w:rPr>
      </w:pPr>
      <w:r>
        <w:rPr>
          <w:rFonts w:ascii="Arial" w:cs="Arial" w:eastAsia="Arial" w:hAnsi="Arial"/>
          <w:sz w:val="17"/>
          <w:szCs w:val="17"/>
          <w:color w:val="auto"/>
        </w:rPr>
        <w:t>Simultaneously with the delivery to the Agent of the Subscription Documents, the subscriber’s check or other good funds will be forwarded directly by the subscriber to the escrow agent and deposited into a non interest bearing escrow account (the “Escrow Account”) established for such purpose with Delaware Trust Company (the “Escrow Agent”). All such funds for subscriptions will be held in the Escrow Account pursuant to the terms of an escrow agreement among the Company, Katalyst, and the Escrow Agent. The Company will pay all fees related to the establishment and maintenance of the Escrow Account. Subject to the receipt of subscriptions for the amount for Closing, the Company will either accept or reject, for any or no reason, the Subscription Documents in a timely fashion and at the Closing will countersign the Subscription Documents and provide duplicate copies of such documents to the Agent for distribution to the subscribers. The Company will give notice to the Agent of its acceptance of each subscription. The Company, or the Agent on the Company’s behalf, will promptly return to subscribers incomplete, improperly completed, improperly executed and rejected subscriptions and give written notice thereof to the Agent upon such return.</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908" w:right="239" w:bottom="1440" w:gutter="0" w:footer="0" w:header="0"/>
        </w:sectPr>
      </w:pPr>
    </w:p>
    <w:bookmarkStart w:id="100" w:name="page101"/>
    <w:bookmarkEnd w:id="100"/>
    <w:p>
      <w:pPr>
        <w:jc w:val="both"/>
        <w:ind w:firstLine="1305"/>
        <w:spacing w:after="0" w:line="270" w:lineRule="auto"/>
        <w:tabs>
          <w:tab w:leader="none" w:pos="1946" w:val="left"/>
        </w:tabs>
        <w:numPr>
          <w:ilvl w:val="1"/>
          <w:numId w:val="114"/>
        </w:numPr>
        <w:rPr>
          <w:rFonts w:ascii="Arial" w:cs="Arial" w:eastAsia="Arial" w:hAnsi="Arial"/>
          <w:sz w:val="17"/>
          <w:szCs w:val="17"/>
          <w:color w:val="auto"/>
        </w:rPr>
      </w:pPr>
      <w:r>
        <w:rPr>
          <w:rFonts w:ascii="Arial" w:cs="Arial" w:eastAsia="Arial" w:hAnsi="Arial"/>
          <w:sz w:val="17"/>
          <w:szCs w:val="17"/>
          <w:color w:val="auto"/>
        </w:rPr>
        <w:t>If subscriptions for at least the Minimum Offering Amount for Closing have been accepted prior to the Termination Date, the funds therefor have been collected by the Escrow Agent and all of the conditions set forth elsewhere in this Agreement are fulfilled, a closing shall be held promptly with respect to the Securities sold (the “Closing”). Delivery of payment for the accepted subscriptions for the Securities from the funds held in the Escrow Account will be made at the Closing at Katalyst’s offices against delivery of the Securities by the Company at the address set forth in Section 12 hereof (or at such other place as may be mutually agreed upon between the Company and the Agent), net of amounts agreed upon by the parties herein. Executed certificates for the Shares and the Warrants will be in such authorized denominations and registered in such names as the Agent may request on or before the date of the Closing (“Closing Date”). The certificates will be forwarded to the subscriber directly by the stock transfer agent as soon as practicable following the Closing. At the Closing, the Company will (i) deliver irrevocable issuance instruction to its stock transfer agent for the issuance of certificates representing the Shares being sold and (ii) issue and deliver the applicable Warrants.</w:t>
      </w:r>
    </w:p>
    <w:p>
      <w:pPr>
        <w:spacing w:after="0" w:line="181" w:lineRule="exact"/>
        <w:rPr>
          <w:rFonts w:ascii="Arial" w:cs="Arial" w:eastAsia="Arial" w:hAnsi="Arial"/>
          <w:sz w:val="17"/>
          <w:szCs w:val="17"/>
          <w:color w:val="auto"/>
        </w:rPr>
      </w:pPr>
    </w:p>
    <w:p>
      <w:pPr>
        <w:jc w:val="both"/>
        <w:ind w:firstLine="1305"/>
        <w:spacing w:after="0" w:line="259" w:lineRule="auto"/>
        <w:tabs>
          <w:tab w:leader="none" w:pos="199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Subscription Documents for the Minimum Offering Amount for Closing have not been received and accepted by the Company on or before the Termination Date for any reason, the Offering will be terminated, no Securities will be sold, and the Escrow Agent will, at the request of the Agent, cause all monies received from subscribers for the Securities to be promptly returned to such subscribers without interest, penalty, expense or deduction.</w:t>
      </w:r>
    </w:p>
    <w:p>
      <w:pPr>
        <w:spacing w:after="0" w:line="182" w:lineRule="exact"/>
        <w:rPr>
          <w:rFonts w:ascii="Arial" w:cs="Arial" w:eastAsia="Arial" w:hAnsi="Arial"/>
          <w:sz w:val="18"/>
          <w:szCs w:val="18"/>
          <w:color w:val="auto"/>
        </w:rPr>
      </w:pPr>
    </w:p>
    <w:p>
      <w:pPr>
        <w:ind w:left="1280" w:hanging="624"/>
        <w:spacing w:after="0"/>
        <w:tabs>
          <w:tab w:leader="none" w:pos="1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Further Covenants</w:t>
      </w:r>
      <w:r>
        <w:rPr>
          <w:rFonts w:ascii="Arial" w:cs="Arial" w:eastAsia="Arial" w:hAnsi="Arial"/>
          <w:sz w:val="18"/>
          <w:szCs w:val="18"/>
          <w:color w:val="auto"/>
        </w:rPr>
        <w:t>. The Company hereby covenants and agrees that:</w:t>
      </w:r>
    </w:p>
    <w:p>
      <w:pPr>
        <w:spacing w:after="0" w:line="229" w:lineRule="exact"/>
        <w:rPr>
          <w:rFonts w:ascii="Arial" w:cs="Arial" w:eastAsia="Arial" w:hAnsi="Arial"/>
          <w:sz w:val="18"/>
          <w:szCs w:val="18"/>
          <w:b w:val="1"/>
          <w:bCs w:val="1"/>
          <w:color w:val="auto"/>
        </w:rPr>
      </w:pPr>
    </w:p>
    <w:p>
      <w:pPr>
        <w:jc w:val="both"/>
        <w:ind w:firstLine="1305"/>
        <w:spacing w:after="0" w:line="259" w:lineRule="auto"/>
        <w:tabs>
          <w:tab w:leader="none" w:pos="198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Except upon prior written notice to the Agent, the Company shall not, at any time prior to the Closing, knowingly take any action which would cause any of the representations and warranties made by it in this Agreement not to be complete and correct in all material respects on and as of the date of the Closing with the same force and effect as if such representations and warranties had been made on and as of such date (except to the extent any representation or warranty relates to an earlier date).</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210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If, at any time prior to the Closing, any event shall occur that causes a Company Material Adverse Effect which as a result it becomes necessary to amend or supplement the Subscription Documents so that the representations and warranties herein remain true and correct in all material respects, or in case it shall be necessary to amend or supplement the Subscription Documents to comply with Regulation D or any other applicable securities laws or regulations, the Company will promptly notify the Agent and shall, at its sole cost, prepare and furnish to the Agent copies of appropriate amendments and/or supplements in such quantities as the Agent may reasonably request. The Company will not at any time before the Closing prepare or use any amendment or supplement to the Subscription Documents of which the Agent will not previously have been advised and furnished with a copy, or which is not in compliance in all material respects with the Act and other applicable securities laws. As soon as the Company is advised thereof, the Company will advise the Agent and its counsel, and confirm the advice in writing, of any order preventing or suspending the use of the Subscription Documents, or the suspension of any exemption for such qualification or registration thereof for offering in any jurisdiction, or of the institution or threatened institution of any proceedings for any of such purposes, and the Company will use its best efforts to prevent the issuance of any such order and, if issued, to obtain as soon as reasonably possible the lifting thereof.</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20"/>
          </w:cols>
          <w:pgMar w:left="240" w:top="908" w:right="239" w:bottom="1440" w:gutter="0" w:footer="0" w:header="0"/>
        </w:sectPr>
      </w:pPr>
    </w:p>
    <w:bookmarkStart w:id="101" w:name="page102"/>
    <w:bookmarkEnd w:id="101"/>
    <w:p>
      <w:pPr>
        <w:jc w:val="both"/>
        <w:ind w:firstLine="1305"/>
        <w:spacing w:after="0" w:line="291" w:lineRule="auto"/>
        <w:tabs>
          <w:tab w:leader="none" w:pos="20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shall comply with the Act, the Exchange Act, the rules and regulations thereunder, all applicable state securities laws and the rules and regulations thereunder in the states in which the Company’s counsel has advised the Agent and/or the Company that the Securities are exempt from qualification or registration, so as to permit the continuance of the sales of the Securities, and will file or cause to be filed with the SEC, and shall promptly thereafter forward or cause to be forwarded to the Agent, any and all reports on Form D as are required. The Company will pay the attorney’s fee and out of pocket expenses related to the filings for exemption from such qualifications or registration with any state securities commissions and any other regulatory agencies. Such fees will be paid at the time of invoicing, or at the time of Closing, if known, and if not yet invoiced, funds will remain in escrow to cover the estimated invoice. The Company will pay the invoice or authorize release of the funds from escrow within five (5) days of receipt of invoice.</w:t>
      </w:r>
    </w:p>
    <w:p>
      <w:pPr>
        <w:spacing w:after="0" w:line="167" w:lineRule="exact"/>
        <w:rPr>
          <w:rFonts w:ascii="Arial" w:cs="Arial" w:eastAsia="Arial" w:hAnsi="Arial"/>
          <w:sz w:val="16"/>
          <w:szCs w:val="16"/>
          <w:color w:val="auto"/>
        </w:rPr>
      </w:pPr>
    </w:p>
    <w:p>
      <w:pPr>
        <w:jc w:val="both"/>
        <w:ind w:firstLine="1305"/>
        <w:spacing w:after="0" w:line="264" w:lineRule="auto"/>
        <w:tabs>
          <w:tab w:leader="none" w:pos="21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place a legend on the certificates representing the shares of the Common Stock and the Warrants that the securities evidenced thereby have not been registered under the Act or applicable state securities laws, setting forth or referring to the applicable restrictions on transferability and sale of such securities under the Act and applicable state laws.</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95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shall apply the net proceeds from the sale of the Securities for the purposes set forth in the Subscription Documents. Except as set forth in the Subscription Documents, the Company shall not use any of the net proceeds of the Offering to repay indebtedness to officers (other than accrued salaries incurred in the ordinary course of business), directors or stockholders of the Company without the prior written consent of the Agent.</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9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During the Offering Period, the Company shall afford each prospective purchaser of Securities the opportunity to ask questions of and receive answers from an officer of the Company concerning the terms and conditions of the Offering and the opportunity to obtain such other additional information necessary to verify the accuracy of the Subscription Documents to the extent the Company possesses such information or can acquire it without unreasonable expense.</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20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Except with the prior written consent of the Agent, the Company shall not, at any time prior to the earlier of the Closing or the Termination Date, except as contemplated by the Subscription Documents (i) engage in or commit to engage in any transaction outside the ordinary course of business as described in the Subscription Documents, (ii) issue, agree to issue or set aside for issuance any securities (debt or equity) or any rights to acquire any such securities, (iii) incur, outside the ordinary course of business, any material indebtedness, (iv) dispose of any material assets, (v) make any material acquisition or (vi) change its business or operations in any material respect.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909" w:right="239" w:bottom="1440" w:gutter="0" w:footer="0" w:header="0"/>
        </w:sectPr>
      </w:pPr>
    </w:p>
    <w:bookmarkStart w:id="102" w:name="page103"/>
    <w:bookmarkEnd w:id="102"/>
    <w:p>
      <w:pPr>
        <w:jc w:val="both"/>
        <w:ind w:firstLine="1305"/>
        <w:spacing w:after="0" w:line="285" w:lineRule="auto"/>
        <w:tabs>
          <w:tab w:leader="none" w:pos="195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Whether or not the transactions contemplated hereby are consummated, or this Agreement is terminated, the Company shall pay all reasonable expenses incurred in connection with the preparation and printing of all necessary offering documents and instruments related to the Offering and the issuance of the Securities and the Brokers Warrants and will also pay for the Company’s expenses for accounting fees, legal fees, printing costs, and other costs involved with the Offering. The Company will provide at its own expense such quantities of the Subscription Documents and other documents and instruments relating to the Offering as the Agent may reasonably request. The Company will pay at its own expense in connection with the creation, authorization, issuance, transfer and delivery of the Securities, including, without limitation, fees and expenses of any transfer agent or registrar; the fees and expenses of the Escrow Agent; all fees and expenses of legal, accounting and other advisers to the Company; the Form D filings for offer and sale of the Securities under the federal securities and Blue Sky laws, payable within five (5) days of being invoiced. The Company will pay all such amounts, unless previously paid, at the Closing, or, if there is no Closing, within ten (10) days after written request therefor following the Termination Date. In addition to any fees payable to Katalyst hereunder and regardless of whether the Offering is consummated, the Company hereby agrees to promptly reimburse Katalyst a non accountable expense allowance in the amount of Fifty Thousand Dollars ($50,000) (the “Katalyst Expenses”), paid directly from the escrow account at the time of the Closing from gross proceeds raised by the Agent and if no Closing, then within five (5) days of written request to the Company by wire transfer. The Katalyst Expenses are separate and apart from the Katalyst Broker Compensation and other expenses described herein. This reimbursement obligation is in addition to the reimbursement of fees and expenses relating to attendance by any Agent at proceedings or to indemnification and contribution as contemplated elsewhere in this agreement. In the event the Agent’s personnel must attend or participate in judicial or other proceedings to which we are not a party relating to the subject matter of this agreement, the Company shall pay the Agent an additional per diem payment, per person, at its customary rates, together with reimbursement of all out-of-pocket expenses and disbursements, including reasonable attorneys’ fees and disbursements incurred by it in respect of its preparation for and participation in such proceedings.</w:t>
      </w:r>
    </w:p>
    <w:p>
      <w:pPr>
        <w:spacing w:after="0" w:line="391" w:lineRule="exact"/>
        <w:rPr>
          <w:rFonts w:ascii="Arial" w:cs="Arial" w:eastAsia="Arial" w:hAnsi="Arial"/>
          <w:sz w:val="16"/>
          <w:szCs w:val="16"/>
          <w:color w:val="auto"/>
        </w:rPr>
      </w:pPr>
    </w:p>
    <w:p>
      <w:pPr>
        <w:ind w:firstLine="1305"/>
        <w:spacing w:after="0" w:line="308" w:lineRule="auto"/>
        <w:tabs>
          <w:tab w:leader="none" w:pos="199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On the Closing Date, the Company permits the Agent to rely on any representations and warranties made by the Company to the investors and will cause their counsel to permit the Agent to rely upon any opinion furnished to the investors in the Private Placement.</w:t>
      </w:r>
    </w:p>
    <w:p>
      <w:pPr>
        <w:spacing w:after="0" w:line="146" w:lineRule="exact"/>
        <w:rPr>
          <w:rFonts w:ascii="Arial" w:cs="Arial" w:eastAsia="Arial" w:hAnsi="Arial"/>
          <w:sz w:val="17"/>
          <w:szCs w:val="17"/>
          <w:color w:val="auto"/>
        </w:rPr>
      </w:pPr>
    </w:p>
    <w:p>
      <w:pPr>
        <w:jc w:val="both"/>
        <w:ind w:firstLine="1305"/>
        <w:spacing w:after="0" w:line="291" w:lineRule="auto"/>
        <w:tabs>
          <w:tab w:leader="none" w:pos="194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The Company will comply with all of its obligations and covenants set forth in its agreements with the investors in the Offering. If not filed on EDGAR, the Company will promptly deliver to the Agent and its counsel copies of any and all filings with the SEC and each amendment or supplement thereto, as well as all prospectuses and free writing prospectuses, prior to the closing of the Offering and six months thereafter. The Agent is authorized on behalf of the Company to use and distribute copies of any Subscription Documents, including Company’s SEC Filings in connection with the sale of the Securities as, and to the extent, permitted by federal and applicable state securities laws. The Company acknowledges and agrees that the Agent will be relying, without assuming responsibility for independent verification, on the accuracy and completeness of all financial and other information that is and will be furnished to them by the Company and the Company will be liable for any material misstatements or omissions contained therein.</w:t>
      </w:r>
    </w:p>
    <w:p>
      <w:pPr>
        <w:spacing w:after="0" w:line="163" w:lineRule="exact"/>
        <w:rPr>
          <w:rFonts w:ascii="Arial" w:cs="Arial" w:eastAsia="Arial" w:hAnsi="Arial"/>
          <w:sz w:val="16"/>
          <w:szCs w:val="16"/>
          <w:color w:val="auto"/>
        </w:rPr>
      </w:pPr>
    </w:p>
    <w:p>
      <w:pPr>
        <w:ind w:right="20" w:firstLine="656"/>
        <w:spacing w:after="0" w:line="282" w:lineRule="auto"/>
        <w:tabs>
          <w:tab w:leader="none" w:pos="135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Agent’s Obligations</w:t>
      </w:r>
      <w:r>
        <w:rPr>
          <w:rFonts w:ascii="Arial" w:cs="Arial" w:eastAsia="Arial" w:hAnsi="Arial"/>
          <w:sz w:val="18"/>
          <w:szCs w:val="18"/>
          <w:color w:val="auto"/>
        </w:rPr>
        <w:t>. The obligations of the Agent hereunder to affect a Closing are subject to the fulfillment, at or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the following additional conditions:</w:t>
      </w:r>
    </w:p>
    <w:p>
      <w:pPr>
        <w:spacing w:after="0" w:line="165" w:lineRule="exact"/>
        <w:rPr>
          <w:rFonts w:ascii="Arial" w:cs="Arial" w:eastAsia="Arial" w:hAnsi="Arial"/>
          <w:sz w:val="18"/>
          <w:szCs w:val="18"/>
          <w:b w:val="1"/>
          <w:bCs w:val="1"/>
          <w:color w:val="auto"/>
        </w:rPr>
      </w:pPr>
    </w:p>
    <w:p>
      <w:pPr>
        <w:ind w:left="1960" w:hanging="655"/>
        <w:spacing w:after="0"/>
        <w:tabs>
          <w:tab w:leader="none" w:pos="19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Company shall be true and correct on the Closing Date.</w:t>
      </w:r>
    </w:p>
    <w:p>
      <w:pPr>
        <w:spacing w:after="0" w:line="225" w:lineRule="exact"/>
        <w:rPr>
          <w:rFonts w:ascii="Arial" w:cs="Arial" w:eastAsia="Arial" w:hAnsi="Arial"/>
          <w:sz w:val="18"/>
          <w:szCs w:val="18"/>
          <w:color w:val="auto"/>
        </w:rPr>
      </w:pPr>
    </w:p>
    <w:p>
      <w:pPr>
        <w:ind w:firstLine="1305"/>
        <w:spacing w:after="0" w:line="277" w:lineRule="auto"/>
        <w:tabs>
          <w:tab w:leader="none" w:pos="201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all agreements, covenants and conditions required to be performed, and complied with by it at or before the Closing.</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0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Subscription Documents do not, and as of the date of any amendment or supplement thereto will not, include any untrue statement of a material fact or omit to state any material fact necessary in order to make the statements therein, in light of the circumstances under which they were made, not misleading.</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99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No order suspending the use of the Subscription Documents or enjoining the Offering or the sale of the Securities shall have been issued, and no proceedings for that purpose or a similar purpose shall have been initiated or pending, or, to the best of the Company’s knowledge, be contemplated or threatened.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420"/>
          </w:cols>
          <w:pgMar w:left="240" w:top="908" w:right="239" w:bottom="1440" w:gutter="0" w:footer="0" w:header="0"/>
        </w:sectPr>
      </w:pPr>
    </w:p>
    <w:bookmarkStart w:id="103" w:name="page104"/>
    <w:bookmarkEnd w:id="103"/>
    <w:p>
      <w:pPr>
        <w:jc w:val="both"/>
        <w:ind w:firstLine="1305"/>
        <w:spacing w:after="0" w:line="259" w:lineRule="auto"/>
        <w:tabs>
          <w:tab w:leader="none" w:pos="202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holder of any of the Securities from the Offering will be subject to personal liability solely by reason of being such a holder, and except as described in the Subscription Documents, none of the Shares or Warrant Shares will be subject to preemptive or similar rights of any stockholder or security holder of the Company, or an adjustment under the antidilution or exercise rights of any holders of any outstanding shares of capital stock, membership units, options, warrants or other rights to acquire any securities of the Company.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09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There shall have been no material adverse change nor development involving a prospective change in the financial condition, operations or projects of the Company, except where such change would not have a Company Material Adverse Effect on the business activities, financial or otherwise, results of operations or prospects of the Company, taken individually or in the aggregate.</w:t>
      </w:r>
    </w:p>
    <w:p>
      <w:pPr>
        <w:spacing w:after="0" w:line="181" w:lineRule="exact"/>
        <w:rPr>
          <w:rFonts w:ascii="Arial" w:cs="Arial" w:eastAsia="Arial" w:hAnsi="Arial"/>
          <w:sz w:val="18"/>
          <w:szCs w:val="18"/>
          <w:color w:val="auto"/>
        </w:rPr>
      </w:pPr>
    </w:p>
    <w:p>
      <w:pPr>
        <w:ind w:firstLine="1305"/>
        <w:spacing w:after="0" w:line="277" w:lineRule="auto"/>
        <w:tabs>
          <w:tab w:leader="none" w:pos="19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Agent shall have received a certificate of the Chief Executive Officer of the Company, dated as of the Closing Date, certifying, as to the fulfillment of the conditions set forth in subparagraphs (a), (b), (c), (d), (e) and (f) above.</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9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have delivered to the Agent: (i) a good standing certificate dated as of a date within 10 days prior to the date of the Closing from the secretary of state of its jurisdiction of incorporation and (ii) resolutions of the Company’s Board of Directors approving this Agreement and the transactions and agreements contemplated by this Agreement, and the Subscription Documents, all as certified by the Chief Executive Officer of the Company.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02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the Closing, the Company shall have (i) paid to the Agent the Compensation as set forth in Section 3 above in respect of all Securities sold at the Closing, (ii) executed and delivered to Katalyst the Brokers Warrants in respect of all Securities sold at such Closing, and (iii) paid all fees, costs and expenses as set forth in Section 5 hereof.</w:t>
      </w:r>
    </w:p>
    <w:p>
      <w:pPr>
        <w:spacing w:after="0" w:line="181" w:lineRule="exact"/>
        <w:rPr>
          <w:rFonts w:ascii="Arial" w:cs="Arial" w:eastAsia="Arial" w:hAnsi="Arial"/>
          <w:sz w:val="18"/>
          <w:szCs w:val="18"/>
          <w:color w:val="auto"/>
        </w:rPr>
      </w:pPr>
    </w:p>
    <w:p>
      <w:pPr>
        <w:ind w:right="20" w:firstLine="1305"/>
        <w:spacing w:after="0" w:line="277" w:lineRule="auto"/>
        <w:tabs>
          <w:tab w:leader="none" w:pos="2209"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There shall have been delivered to the Agent a signed opinion of counsel to the Company dated as of the Closing Date, substantially in the form set forth in Attachment II.</w:t>
      </w:r>
    </w:p>
    <w:p>
      <w:pPr>
        <w:spacing w:after="0" w:line="170" w:lineRule="exact"/>
        <w:rPr>
          <w:rFonts w:ascii="Arial" w:cs="Arial" w:eastAsia="Arial" w:hAnsi="Arial"/>
          <w:sz w:val="18"/>
          <w:szCs w:val="18"/>
          <w:color w:val="auto"/>
        </w:rPr>
      </w:pPr>
    </w:p>
    <w:p>
      <w:pPr>
        <w:jc w:val="both"/>
        <w:ind w:firstLine="1305"/>
        <w:spacing w:after="0" w:line="286" w:lineRule="auto"/>
        <w:tabs>
          <w:tab w:leader="none" w:pos="205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All proceedings taken at or prior to the Closing in connection with the authorization, issuance and sale of the Securities will be reasonably satisfactory in form and substance to the Agent and its counsel, and such counsel shall have been furnished with all such documents, certificates and opinions as it may reasonably request upon reasonable prior notice in connection with the transactions contemplated hereby.</w:t>
      </w:r>
    </w:p>
    <w:p>
      <w:pPr>
        <w:spacing w:after="0" w:line="165" w:lineRule="exact"/>
        <w:rPr>
          <w:rFonts w:ascii="Arial" w:cs="Arial" w:eastAsia="Arial" w:hAnsi="Arial"/>
          <w:sz w:val="17"/>
          <w:szCs w:val="17"/>
          <w:color w:val="auto"/>
        </w:rPr>
      </w:pPr>
    </w:p>
    <w:p>
      <w:pPr>
        <w:jc w:val="both"/>
        <w:ind w:firstLine="1305"/>
        <w:spacing w:after="0" w:line="273" w:lineRule="auto"/>
        <w:tabs>
          <w:tab w:leader="none" w:pos="192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in connection with the Offering, the Agent determines that it or the Company would be required to make a filing with the FINRA to enable the Agent to act as agent in the Offering, the Company will do the following: The Company will cooperate with the Agent with respect to all FINRA filings that the Company or the Agent may be required to make and provide all information and documentation necessary to make the filings in a timely manner. The Company will pay all expenses related to all FINRA filings that the Company or Agent may be required to make, including, but not limited to, all printing costs related to all documents required or that the Agent may reasonably deem necessary, to comply with FINRA rules; any FINRA filing fees; postage and express charges; and all other expenses incurred in making the FINRA filings.</w:t>
      </w:r>
    </w:p>
    <w:p>
      <w:pPr>
        <w:spacing w:after="0" w:line="178" w:lineRule="exact"/>
        <w:rPr>
          <w:rFonts w:ascii="Arial" w:cs="Arial" w:eastAsia="Arial" w:hAnsi="Arial"/>
          <w:sz w:val="17"/>
          <w:szCs w:val="17"/>
          <w:color w:val="auto"/>
        </w:rPr>
      </w:pPr>
    </w:p>
    <w:p>
      <w:pPr>
        <w:ind w:firstLine="1305"/>
        <w:spacing w:after="0" w:line="277" w:lineRule="auto"/>
        <w:tabs>
          <w:tab w:leader="none" w:pos="205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agrees and understands that this Agreement in no way constitutes a guarantee that the Offering will be successful. The Company acknowledges that the Company is ultimately responsible for the successful completion of a transaction.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908" w:right="239" w:bottom="1440" w:gutter="0" w:footer="0" w:header="0"/>
        </w:sectPr>
      </w:pPr>
    </w:p>
    <w:bookmarkStart w:id="104" w:name="page105"/>
    <w:bookmarkEnd w:id="104"/>
    <w:p>
      <w:pPr>
        <w:ind w:firstLine="656"/>
        <w:spacing w:after="0" w:line="282" w:lineRule="auto"/>
        <w:tabs>
          <w:tab w:leader="none" w:pos="1496"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the Company’s Obligations</w:t>
      </w:r>
      <w:r>
        <w:rPr>
          <w:rFonts w:ascii="Arial" w:cs="Arial" w:eastAsia="Arial" w:hAnsi="Arial"/>
          <w:sz w:val="18"/>
          <w:szCs w:val="18"/>
          <w:color w:val="auto"/>
        </w:rPr>
        <w:t>. The obligations of the Company hereunder are subject to the satisfaction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w:t>
      </w:r>
    </w:p>
    <w:p>
      <w:pPr>
        <w:spacing w:after="0" w:line="165" w:lineRule="exact"/>
        <w:rPr>
          <w:rFonts w:ascii="Arial" w:cs="Arial" w:eastAsia="Arial" w:hAnsi="Arial"/>
          <w:sz w:val="18"/>
          <w:szCs w:val="18"/>
          <w:b w:val="1"/>
          <w:bCs w:val="1"/>
          <w:color w:val="auto"/>
        </w:rPr>
      </w:pPr>
    </w:p>
    <w:p>
      <w:pPr>
        <w:ind w:left="1960" w:hanging="655"/>
        <w:spacing w:after="0"/>
        <w:tabs>
          <w:tab w:leader="none" w:pos="19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satisfaction or waiver of all conditions to Closing as set forth herein.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As of the Closing, each of the representations and warranties made by Agent herein being true and correct as of the Closing Date.</w:t>
      </w:r>
    </w:p>
    <w:p>
      <w:pPr>
        <w:spacing w:after="0" w:line="248" w:lineRule="exact"/>
        <w:rPr>
          <w:rFonts w:ascii="Arial" w:cs="Arial" w:eastAsia="Arial" w:hAnsi="Arial"/>
          <w:sz w:val="16"/>
          <w:szCs w:val="16"/>
          <w:color w:val="auto"/>
        </w:rPr>
      </w:pPr>
    </w:p>
    <w:p>
      <w:pPr>
        <w:ind w:firstLine="1305"/>
        <w:spacing w:after="0" w:line="277" w:lineRule="auto"/>
        <w:tabs>
          <w:tab w:leader="none" w:pos="209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At the Closing, the Company shall have received the proceeds from the sale of the Securities that are part of the Closing less applicable Broker Fees and other deductions contemplated by this Agreement.</w:t>
      </w:r>
    </w:p>
    <w:p>
      <w:pPr>
        <w:spacing w:after="0" w:line="170" w:lineRule="exact"/>
        <w:rPr>
          <w:rFonts w:ascii="Arial" w:cs="Arial" w:eastAsia="Arial" w:hAnsi="Arial"/>
          <w:sz w:val="18"/>
          <w:szCs w:val="18"/>
          <w:color w:val="auto"/>
        </w:rPr>
      </w:pPr>
    </w:p>
    <w:p>
      <w:pPr>
        <w:ind w:left="2100" w:hanging="795"/>
        <w:spacing w:after="0"/>
        <w:tabs>
          <w:tab w:leader="none" w:pos="21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Prior to the Closing, the Company shall have received a copy of Subscription Documents signed by investors delivered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7A. Mutual Condition</w:t>
      </w:r>
      <w:r>
        <w:rPr>
          <w:rFonts w:ascii="Arial" w:cs="Arial" w:eastAsia="Arial" w:hAnsi="Arial"/>
          <w:sz w:val="18"/>
          <w:szCs w:val="18"/>
          <w:color w:val="auto"/>
        </w:rPr>
        <w:t>. The obligations of the Agent and the Company hereunder are subject to the execution by each investor of a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form and substance acceptable to the Agent and the Company and deposit by such investor with the escrow agent of all funds required to be so deposited by such investor.</w:t>
      </w:r>
    </w:p>
    <w:p>
      <w:pPr>
        <w:spacing w:after="0" w:line="176" w:lineRule="exact"/>
        <w:rPr>
          <w:sz w:val="20"/>
          <w:szCs w:val="20"/>
          <w:color w:val="auto"/>
        </w:rPr>
      </w:pPr>
    </w:p>
    <w:p>
      <w:pPr>
        <w:ind w:left="1280" w:hanging="624"/>
        <w:spacing w:after="0"/>
        <w:tabs>
          <w:tab w:leader="none" w:pos="12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67" w:lineRule="auto"/>
        <w:tabs>
          <w:tab w:leader="none" w:pos="2044" w:val="left"/>
        </w:tabs>
        <w:numPr>
          <w:ilvl w:val="1"/>
          <w:numId w:val="121"/>
        </w:numPr>
        <w:rPr>
          <w:rFonts w:ascii="Arial" w:cs="Arial" w:eastAsia="Arial" w:hAnsi="Arial"/>
          <w:sz w:val="17"/>
          <w:szCs w:val="17"/>
          <w:color w:val="auto"/>
        </w:rPr>
      </w:pPr>
      <w:r>
        <w:rPr>
          <w:rFonts w:ascii="Arial" w:cs="Arial" w:eastAsia="Arial" w:hAnsi="Arial"/>
          <w:sz w:val="17"/>
          <w:szCs w:val="17"/>
          <w:color w:val="auto"/>
        </w:rPr>
        <w:t>The Company will: (i) indemnify and hold harmless the Agent, its agents and its officers, directors, employees, agents, selected dealers and each person, if any, who controls the Agent within the meaning of the Act and such agents (each an “Indemnitee” or an “Agent Party”) against, and pay or reimburse each Indemnitee for, any and all losses, claims, damages, liabilities or expenses whatsoever (or actions or proceedings or investigations in respect thereof (collectively, “Proceedings”), joint or several (which will, for all purposes of this Agreement, include, but not be limited to, all reasonable costs of defense and investigation and all reasonable attorneys’ fees, including appeals), to which any Indemnitee may become subject (a) under the Act or otherwise, in connection with the offer and sale of the Securities and (b) as a result of the breach of any representation, warranty or covenant made by the Company herein or the failure of the Company to perform its obligations under the Agreement, regardless of whether such losses, claims, damages, liabilities or expenses shall result from any claim by any Indemnitee or by any third party; and (ii) reimburse each Indemnitee for any legal or other expenses reasonably incurred in connection with investigating or defending against any such loss, claim, action, proceeding or investigation; provided, however, the Company will not be liable in any such case to the extent that any such claim, damage or liability of the Agent is to have resulted from that Agent’s gross negligence or willful misconduct. In addition to the foregoing agreement to indemnify and reimburse, the Company will indemnify and hold harmless each Indemnitee against any and all losses, claims, damages, liabilities or expenses whatsoever (or actions or proceedings or investigations in respect thereof), joint or several (which shall, for all purposes of this Agreement, include, but not be limited to, all reasonable costs of defense and investigation and all reasonable attorneys’ fees, including appeals) to which any Indemnitee may become subject insofar as such costs, expenses, losses, claims, damages or liabilities arise out of or are based upon the claim of any person or entity that he or it is entitled to broker’s or finder’s fees from any Indemnitee in connection with the Offering as a result of the Company obligating itself or any Indemnitee to pay such a fee, other than fees due to the Agent, its dealers, sub-agents or finders. The foregoing indemnity agreements will be in addition to any liability the Company may otherwise have. The Indemnitees are intended third party beneficiaries of this provision.</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420"/>
          </w:cols>
          <w:pgMar w:left="240" w:top="904" w:right="239" w:bottom="1440" w:gutter="0" w:footer="0" w:header="0"/>
        </w:sectPr>
      </w:pPr>
    </w:p>
    <w:bookmarkStart w:id="105" w:name="page106"/>
    <w:bookmarkEnd w:id="105"/>
    <w:p>
      <w:pPr>
        <w:jc w:val="both"/>
        <w:ind w:firstLine="1305"/>
        <w:spacing w:after="0" w:line="267" w:lineRule="auto"/>
        <w:tabs>
          <w:tab w:leader="none" w:pos="222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8 of notice of the commencement of any action, claim, proceeding or investigation (the “Action”), such indemnified party, if a claim in respect thereof is to be made against the indemnifying party under this Section 8, will notify the indemnifying party of the commencement thereof, but the omission to so notify the indemnifying party will not relieve it from any liability that it may have to any indemnified party under this Section 8 unless the indemnifying party has been substantially prejudiced by such omission. The indemnifying party will be entitled to participate in and, to the extent that it may wish, jointly with any other indemnifying party, to assume the defense thereof subject to the provisions herein stated, with counsel reasonably satisfactory to such indemnified party. The indemnified party will have the right to employ separate counsel in any such Action and to participate in the defense thereof, but the fees and expenses of such counsel will not be at the expense of the indemnifying party if the indemnifying party has assumed the defense of the Action with counsel reasonably satisfactory to the indemnified party, provided, however, that if the indemnified party shall be requested by the indemnifying party to participate in the defense thereof or shall have concluded in good faith and specifically notified the indemnifying party either that there may be specific defenses available to it that are different from or additional to those available to the indemnifying party or that such Action involves or could have a material adverse effect upon it with respect to matters beyond the scope of the indemnity agreements contained in this Agreement, then the counsel representing it, to the extent made necessary by such defenses, shall have the right to direct such defenses of such Action on its behalf and in such case the reasonable fees and expenses of such counsel in connection with any such participation or defenses shall be paid by the indemnifying party. No settlement of any Action against an indemnified party will be made without the consent of the indemnifying party and the indemnified party, which consent shall not be unreasonably withheld or delayed in light of all factors of importance to such party, and no indemnifying party shall be liable to indemnify any person for any settlement of any such claim effected without such indemnifying party’s consent. Notwithstanding the immediately preceding sentence, if at any time an indemnified party requests the indemnifying party to reimburse the indemnified party for legal or other expenses in connection with investigating, responding to or defending any Proceedings as contemplated by this indemnity agreement, the indemnifying party will be liable for any settlement of any Proceedings effected without its written consent if (i) the proposed settlement is entered into more than 30 days after receipt by the indemnifying party of the request for reimbursement, (ii) the indemnifying party has not reimbursed the indemnified party within 30 days of such request for reimbursement, (iii) the indemnified party delivered written notice to the indemnifying party of its intention to settle and the failure to pay within such 30 day period, and (iv) the indemnifying party does not, within 15 days of receipt of the notice of the intention to settle and failure to pay, reimburse the indemnified party for such legal or other expenses and object to the indemnified party’s seeking to settle such Proceedings.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420"/>
          </w:cols>
          <w:pgMar w:left="240" w:top="908" w:right="239" w:bottom="1440" w:gutter="0" w:footer="0" w:header="0"/>
        </w:sectPr>
      </w:pPr>
    </w:p>
    <w:bookmarkStart w:id="106" w:name="page107"/>
    <w:bookmarkEnd w:id="106"/>
    <w:p>
      <w:pPr>
        <w:jc w:val="both"/>
        <w:ind w:firstLine="656"/>
        <w:spacing w:after="0" w:line="285" w:lineRule="auto"/>
        <w:tabs>
          <w:tab w:leader="none" w:pos="1413"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To provide for just and equitable contribution, if: (i) an indemnified party makes a claim for indemnification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8 hereof and it is finally determined, by a judgment, order or decree not subject to further appeal that such claims for indemnification may not be enforced, even though this Agreement expressly provides for indemnification in such case; or (ii) any indemnified or indemnifying party seeks contribution under the Act, the Exchange Act, or otherwise, then each indemnifying party shall contribute to such amount paid or payable by such indemnified party in such proportion as is appropriate to reflect not only such relative benefits but also the relative fault of the Company on the one hand and the Agent on the other in connection with the statements or omissions which resulted in such losses, claims, damages, liabilities or expenses (or actions in respect thereof),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Agent’s Compensation received by the Agent. The relative fault, in the case of an untrue statement, alleged untrue statement, omission or alleged omission will be determined by, among other things, whether such statement, alleged statement, omission or alleged omission relates to information supplied by the Company or by the Agent, and the parties’ relative intent, knowledge, access to information and opportunity to correct or prevent such statement, alleged statement, omission or alleged omission. The Company and the Agent agree that it would be unjust and inequitable if the respective obligations of the Company and the Agent for contribution were determined by pro rata allocation of the aggregate losses, liabilities, claims, damages and expenses or by any other method or allocation that does not reflect the equitable considerations referred to in this Section 9. No person guilty of a fraudulent misrepresentation (within the meaning of Section 10(f) of the Act) will be entitled to contribution from any person who is not guilty of such fraudulent misrepresentation. For purposes of this Section 9, each person, if any, who controls the Agent within the meaning of the Act will have the same rights to contribution as the respective Agent, and each person, if any, who controls the Company within the meaning of the Act will have the same rights to contribution as the Company, subject in each case to the provisions of this Section 9. Anything in this Section 9 to the contrary notwithstanding, no party will be liable for contribution with respect to the settlement of any claim or action effected without its written consent. This Section 9 is intended to supersede, to the extent permitted by law, any right to contribution under the Act, the Exchange Act or otherwise available.</w:t>
      </w:r>
    </w:p>
    <w:p>
      <w:pPr>
        <w:spacing w:after="0" w:line="386" w:lineRule="exact"/>
        <w:rPr>
          <w:rFonts w:ascii="Arial" w:cs="Arial" w:eastAsia="Arial" w:hAnsi="Arial"/>
          <w:sz w:val="16"/>
          <w:szCs w:val="16"/>
          <w:b w:val="1"/>
          <w:bCs w:val="1"/>
          <w:color w:val="auto"/>
        </w:rPr>
      </w:pPr>
    </w:p>
    <w:p>
      <w:pPr>
        <w:ind w:left="1280" w:hanging="624"/>
        <w:spacing w:after="0"/>
        <w:tabs>
          <w:tab w:leader="none" w:pos="12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93" w:lineRule="auto"/>
        <w:tabs>
          <w:tab w:leader="none" w:pos="197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Offering may be terminated by the Agent at any time prior to the expiration of the Offering Period in the event that: (i) any of the representations, warranties or covenants of the Company contained herein or in the Subscription Documents shall prove to have been false or misleading in any material respect when actually made; (ii) the Company shall have failed to perform any of its material obligations hereunder or under any other Company Transaction Document or any other transaction document; (iii) there shall occur any event, within the control of the Company that is reasonably likely to materially and adversely affect the transactions contemplated hereunder or the ability of the Company to perform hereunder; or (iv) the Agent determines that it is reasonably likely that any of the conditions to Closing to be fulfilled by the Company set forth herein will not, or cannot, be satisfied.</w:t>
      </w:r>
    </w:p>
    <w:p>
      <w:pPr>
        <w:spacing w:after="0" w:line="164" w:lineRule="exact"/>
        <w:rPr>
          <w:rFonts w:ascii="Arial" w:cs="Arial" w:eastAsia="Arial" w:hAnsi="Arial"/>
          <w:sz w:val="16"/>
          <w:szCs w:val="16"/>
          <w:color w:val="auto"/>
        </w:rPr>
      </w:pPr>
    </w:p>
    <w:p>
      <w:pPr>
        <w:jc w:val="both"/>
        <w:ind w:firstLine="1305"/>
        <w:spacing w:after="0" w:line="273" w:lineRule="auto"/>
        <w:tabs>
          <w:tab w:leader="none" w:pos="204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This Offering may be terminated by the Company at any time prior to the Termination Date in the event that (i) the Agent shall have failed to perform any of its material obligations hereunder or (ii) on account of Agent’s fraud, illegal or willful misconduct or gross negligence. In the event of any termination by the Company, the Agent shall be entitled to receive, on the Termination Date, all unpaid respective compensation as set forth in Section 3(a) and 3(b) herein earned or accrued through the Termination Date as provided for in this Agreement, but shall be entitled to no other amounts whatsoever except as may be due under any indemnity or contribution obligation for provided herein, at law or otherwise. On such Termination Date, the Company shall pay Katalyst Expenses in connection with the Offering, as provided for herein.</w:t>
      </w:r>
    </w:p>
    <w:p>
      <w:pPr>
        <w:spacing w:after="0" w:line="178" w:lineRule="exact"/>
        <w:rPr>
          <w:rFonts w:ascii="Arial" w:cs="Arial" w:eastAsia="Arial" w:hAnsi="Arial"/>
          <w:sz w:val="17"/>
          <w:szCs w:val="17"/>
          <w:color w:val="auto"/>
        </w:rPr>
      </w:pPr>
    </w:p>
    <w:p>
      <w:pPr>
        <w:ind w:left="2000" w:hanging="695"/>
        <w:spacing w:after="0"/>
        <w:tabs>
          <w:tab w:leader="none" w:pos="20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This Offering may be terminated upon mutual agreement of the Company and the Agent at any time prior to the expiration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 Period.</w:t>
      </w:r>
    </w:p>
    <w:p>
      <w:pPr>
        <w:spacing w:after="0" w:line="210" w:lineRule="exact"/>
        <w:rPr>
          <w:rFonts w:ascii="Arial" w:cs="Arial" w:eastAsia="Arial" w:hAnsi="Arial"/>
          <w:sz w:val="16"/>
          <w:szCs w:val="16"/>
          <w:color w:val="auto"/>
        </w:rPr>
      </w:pPr>
    </w:p>
    <w:p>
      <w:pPr>
        <w:jc w:val="both"/>
        <w:ind w:firstLine="1305"/>
        <w:spacing w:after="0" w:line="257" w:lineRule="auto"/>
        <w:tabs>
          <w:tab w:leader="none" w:pos="214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This Offering and this Agreement may be terminated by the Company at any time after June 15, 2017, in the event that the Company has not formally accepted subscriptions for at least the Minimum Amount by such date. In the event of any termination by the Company under this clause (d), Katalyst shall be entitled to receive, on the Termination Date, payment of the Katalyst Expenses as provided for in paragraph 5(h) of this Agreement, but the Agent shall be entitled to no other amounts whatsoever except as may be due under any indemnity or contribution obligation for provided herein, at law or otherwise.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420"/>
          </w:cols>
          <w:pgMar w:left="240" w:top="905" w:right="239" w:bottom="1440" w:gutter="0" w:footer="0" w:header="0"/>
        </w:sectPr>
      </w:pPr>
    </w:p>
    <w:bookmarkStart w:id="107" w:name="page108"/>
    <w:bookmarkEnd w:id="107"/>
    <w:p>
      <w:pPr>
        <w:jc w:val="both"/>
        <w:ind w:firstLine="1305"/>
        <w:spacing w:after="0" w:line="255" w:lineRule="auto"/>
        <w:tabs>
          <w:tab w:leader="none" w:pos="202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Except as otherwise provided above, before any termination by the Agent under Section 10(a) or by the Company under Section 10(b) shall become effective, the terminating party shall give ten (10) day prior written notice to the other party of its intention to terminate the Offering (the “Termination Notice”). The Termination Notice shall specify the grounds for the proposed termination. If the specified grounds for termination, or their resulting adverse effect on the transactions contemplated hereby, are curable, then the other party shall have five (5) days from the Termination Notice within which to remove such grounds or to eliminate all of their material adverse effects on the transactions contemplated hereby; otherwise, the Offering shall terminate.</w:t>
      </w:r>
    </w:p>
    <w:p>
      <w:pPr>
        <w:spacing w:after="0" w:line="193" w:lineRule="exact"/>
        <w:rPr>
          <w:rFonts w:ascii="Arial" w:cs="Arial" w:eastAsia="Arial" w:hAnsi="Arial"/>
          <w:sz w:val="18"/>
          <w:szCs w:val="18"/>
          <w:color w:val="auto"/>
        </w:rPr>
      </w:pPr>
    </w:p>
    <w:p>
      <w:pPr>
        <w:jc w:val="both"/>
        <w:ind w:firstLine="1305"/>
        <w:spacing w:after="0" w:line="264" w:lineRule="auto"/>
        <w:tabs>
          <w:tab w:leader="none" w:pos="197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Upon any termination pursuant to this Section 10, the Agent and the Company will instruct the Escrow Agent to cause all monies received with respect to the subscriptions for Securities not accepted by the Company to be promptly returned to such subscribers without interest, penalty or deduction.</w:t>
      </w:r>
    </w:p>
    <w:p>
      <w:pPr>
        <w:spacing w:after="0" w:line="177" w:lineRule="exact"/>
        <w:rPr>
          <w:rFonts w:ascii="Arial" w:cs="Arial" w:eastAsia="Arial" w:hAnsi="Arial"/>
          <w:sz w:val="18"/>
          <w:szCs w:val="18"/>
          <w:color w:val="auto"/>
        </w:rPr>
      </w:pPr>
    </w:p>
    <w:p>
      <w:pPr>
        <w:ind w:left="1280" w:hanging="624"/>
        <w:spacing w:after="0"/>
        <w:tabs>
          <w:tab w:leader="none" w:pos="12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64" w:lineRule="auto"/>
        <w:tabs>
          <w:tab w:leader="none" w:pos="1948"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obligations of the parties to pay any costs and expenses hereunder and to provide indemnification and contribution as provided herein shall survive any termination hereunder. In addition, the provisions of Sections 3, and 8 through 20 shall survive the sale of the Securities or any termination of the Offering hereunder.</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98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respective indemnities, covenants, representations, warranties and other statements of the Company and the Agent set forth in or made pursuant to this Agreement will remain in full force and effect, regardless of any investigation made by or on behalf of, and regardless of any access to information by the Company or the Agent, or any of their officers or directors or any controlling person thereof, and will survive the sale of the Securities or any termination of the Offering hereunder.</w:t>
      </w:r>
    </w:p>
    <w:p>
      <w:pPr>
        <w:spacing w:after="0" w:line="182" w:lineRule="exact"/>
        <w:rPr>
          <w:rFonts w:ascii="Arial" w:cs="Arial" w:eastAsia="Arial" w:hAnsi="Arial"/>
          <w:sz w:val="18"/>
          <w:szCs w:val="18"/>
          <w:color w:val="auto"/>
        </w:rPr>
      </w:pPr>
    </w:p>
    <w:p>
      <w:pPr>
        <w:jc w:val="both"/>
        <w:ind w:firstLine="656"/>
        <w:spacing w:after="0" w:line="261" w:lineRule="auto"/>
        <w:tabs>
          <w:tab w:leader="none" w:pos="1319"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 and other communications hereunder will be in writing and shall be deemed effectively given to a party by (a)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(b) upon deposit with the United States Post Office, by certified mail, return receipt requested, first-class mail, postage prepaid; (c) delivered by hand or by messenger or overnight courier, addressee signature required, to the addresses below or at such other address and/or to such other persons as shall have been furnished by the parties: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ind w:left="660"/>
              <w:spacing w:after="0"/>
              <w:rPr>
                <w:sz w:val="20"/>
                <w:szCs w:val="20"/>
                <w:color w:val="auto"/>
              </w:rPr>
            </w:pPr>
            <w:r>
              <w:rPr>
                <w:rFonts w:ascii="Arial" w:cs="Arial" w:eastAsia="Arial" w:hAnsi="Arial"/>
                <w:sz w:val="18"/>
                <w:szCs w:val="18"/>
                <w:color w:val="auto"/>
              </w:rPr>
              <w:t>If to the Company:</w:t>
            </w:r>
          </w:p>
        </w:tc>
        <w:tc>
          <w:tcPr>
            <w:tcW w:w="8080" w:type="dxa"/>
            <w:vAlign w:val="bottom"/>
          </w:tcPr>
          <w:p>
            <w:pPr>
              <w:ind w:left="560"/>
              <w:spacing w:after="0"/>
              <w:rPr>
                <w:sz w:val="20"/>
                <w:szCs w:val="20"/>
                <w:color w:val="auto"/>
              </w:rPr>
            </w:pPr>
            <w:r>
              <w:rPr>
                <w:rFonts w:ascii="Arial" w:cs="Arial" w:eastAsia="Arial" w:hAnsi="Arial"/>
                <w:sz w:val="18"/>
                <w:szCs w:val="18"/>
                <w:color w:val="auto"/>
              </w:rPr>
              <w:t>TapImmune Inc.</w:t>
            </w:r>
          </w:p>
        </w:tc>
      </w:tr>
      <w:tr>
        <w:trPr>
          <w:trHeight w:val="216"/>
        </w:trPr>
        <w:tc>
          <w:tcPr>
            <w:tcW w:w="334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50 North Laura Street</w:t>
            </w:r>
          </w:p>
        </w:tc>
      </w:tr>
      <w:tr>
        <w:trPr>
          <w:trHeight w:val="216"/>
        </w:trPr>
        <w:tc>
          <w:tcPr>
            <w:tcW w:w="334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Suite 2500</w:t>
            </w:r>
          </w:p>
        </w:tc>
      </w:tr>
      <w:tr>
        <w:trPr>
          <w:trHeight w:val="216"/>
        </w:trPr>
        <w:tc>
          <w:tcPr>
            <w:tcW w:w="334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Jacksonville, FL 32202</w:t>
            </w:r>
          </w:p>
        </w:tc>
      </w:tr>
      <w:tr>
        <w:trPr>
          <w:trHeight w:val="216"/>
        </w:trPr>
        <w:tc>
          <w:tcPr>
            <w:tcW w:w="334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Attn: Mr. Glynn Wilson, Ph.D</w:t>
            </w:r>
          </w:p>
        </w:tc>
      </w:tr>
      <w:tr>
        <w:trPr>
          <w:trHeight w:val="230"/>
        </w:trPr>
        <w:tc>
          <w:tcPr>
            <w:tcW w:w="3340" w:type="dxa"/>
            <w:vAlign w:val="bottom"/>
          </w:tcPr>
          <w:p>
            <w:pPr>
              <w:spacing w:after="0"/>
              <w:rPr>
                <w:sz w:val="20"/>
                <w:szCs w:val="20"/>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E-mail: gwilson@tapimmune.com</w:t>
            </w:r>
          </w:p>
        </w:tc>
      </w:tr>
      <w:tr>
        <w:trPr>
          <w:trHeight w:val="418"/>
        </w:trPr>
        <w:tc>
          <w:tcPr>
            <w:tcW w:w="3340" w:type="dxa"/>
            <w:vAlign w:val="bottom"/>
          </w:tcPr>
          <w:p>
            <w:pPr>
              <w:ind w:left="660"/>
              <w:spacing w:after="0"/>
              <w:rPr>
                <w:sz w:val="20"/>
                <w:szCs w:val="20"/>
                <w:color w:val="auto"/>
              </w:rPr>
            </w:pPr>
            <w:r>
              <w:rPr>
                <w:rFonts w:ascii="Arial" w:cs="Arial" w:eastAsia="Arial" w:hAnsi="Arial"/>
                <w:sz w:val="18"/>
                <w:szCs w:val="18"/>
                <w:color w:val="auto"/>
              </w:rPr>
              <w:t>With a copy to:</w:t>
            </w:r>
          </w:p>
        </w:tc>
        <w:tc>
          <w:tcPr>
            <w:tcW w:w="8080" w:type="dxa"/>
            <w:vAlign w:val="bottom"/>
          </w:tcPr>
          <w:p>
            <w:pPr>
              <w:ind w:left="560"/>
              <w:spacing w:after="0"/>
              <w:rPr>
                <w:sz w:val="20"/>
                <w:szCs w:val="20"/>
                <w:color w:val="auto"/>
              </w:rPr>
            </w:pPr>
            <w:r>
              <w:rPr>
                <w:rFonts w:ascii="Arial" w:cs="Arial" w:eastAsia="Arial" w:hAnsi="Arial"/>
                <w:sz w:val="18"/>
                <w:szCs w:val="18"/>
                <w:color w:val="auto"/>
              </w:rPr>
              <w:t>Shumaker, Loop &amp; Kendrick, LLP</w:t>
            </w:r>
          </w:p>
        </w:tc>
      </w:tr>
      <w:tr>
        <w:trPr>
          <w:trHeight w:val="216"/>
        </w:trPr>
        <w:tc>
          <w:tcPr>
            <w:tcW w:w="3340" w:type="dxa"/>
            <w:vAlign w:val="bottom"/>
          </w:tcPr>
          <w:p>
            <w:pPr>
              <w:ind w:left="660"/>
              <w:spacing w:after="0"/>
              <w:rPr>
                <w:sz w:val="20"/>
                <w:szCs w:val="20"/>
                <w:color w:val="auto"/>
              </w:rPr>
            </w:pPr>
            <w:r>
              <w:rPr>
                <w:rFonts w:ascii="Arial" w:cs="Arial" w:eastAsia="Arial" w:hAnsi="Arial"/>
                <w:sz w:val="18"/>
                <w:szCs w:val="18"/>
                <w:color w:val="auto"/>
              </w:rPr>
              <w:t>(which shall not</w:t>
            </w:r>
          </w:p>
        </w:tc>
        <w:tc>
          <w:tcPr>
            <w:tcW w:w="8080" w:type="dxa"/>
            <w:vAlign w:val="bottom"/>
          </w:tcPr>
          <w:p>
            <w:pPr>
              <w:ind w:left="560"/>
              <w:spacing w:after="0"/>
              <w:rPr>
                <w:sz w:val="20"/>
                <w:szCs w:val="20"/>
                <w:color w:val="auto"/>
              </w:rPr>
            </w:pPr>
            <w:r>
              <w:rPr>
                <w:rFonts w:ascii="Arial" w:cs="Arial" w:eastAsia="Arial" w:hAnsi="Arial"/>
                <w:sz w:val="18"/>
                <w:szCs w:val="18"/>
                <w:color w:val="auto"/>
              </w:rPr>
              <w:t>101 East Kennedy Boulevard, Ste 2800</w:t>
            </w:r>
          </w:p>
        </w:tc>
      </w:tr>
      <w:tr>
        <w:trPr>
          <w:trHeight w:val="216"/>
        </w:trPr>
        <w:tc>
          <w:tcPr>
            <w:tcW w:w="3340" w:type="dxa"/>
            <w:vAlign w:val="bottom"/>
          </w:tcPr>
          <w:p>
            <w:pPr>
              <w:ind w:left="660"/>
              <w:spacing w:after="0"/>
              <w:rPr>
                <w:sz w:val="20"/>
                <w:szCs w:val="20"/>
                <w:color w:val="auto"/>
              </w:rPr>
            </w:pPr>
            <w:r>
              <w:rPr>
                <w:rFonts w:ascii="Arial" w:cs="Arial" w:eastAsia="Arial" w:hAnsi="Arial"/>
                <w:sz w:val="18"/>
                <w:szCs w:val="18"/>
                <w:color w:val="auto"/>
              </w:rPr>
              <w:t>constitute notice)</w:t>
            </w:r>
          </w:p>
        </w:tc>
        <w:tc>
          <w:tcPr>
            <w:tcW w:w="8080" w:type="dxa"/>
            <w:vAlign w:val="bottom"/>
          </w:tcPr>
          <w:p>
            <w:pPr>
              <w:ind w:left="560"/>
              <w:spacing w:after="0"/>
              <w:rPr>
                <w:sz w:val="20"/>
                <w:szCs w:val="20"/>
                <w:color w:val="auto"/>
              </w:rPr>
            </w:pPr>
            <w:r>
              <w:rPr>
                <w:rFonts w:ascii="Arial" w:cs="Arial" w:eastAsia="Arial" w:hAnsi="Arial"/>
                <w:sz w:val="18"/>
                <w:szCs w:val="18"/>
                <w:color w:val="auto"/>
              </w:rPr>
              <w:t>Tampa, FL 33602</w:t>
            </w:r>
          </w:p>
        </w:tc>
      </w:tr>
      <w:tr>
        <w:trPr>
          <w:trHeight w:val="230"/>
        </w:trPr>
        <w:tc>
          <w:tcPr>
            <w:tcW w:w="3340" w:type="dxa"/>
            <w:vAlign w:val="bottom"/>
          </w:tcPr>
          <w:p>
            <w:pPr>
              <w:spacing w:after="0"/>
              <w:rPr>
                <w:sz w:val="20"/>
                <w:szCs w:val="20"/>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Attention: Mark A. Catchur, Esq.</w:t>
            </w:r>
          </w:p>
        </w:tc>
      </w:tr>
      <w:tr>
        <w:trPr>
          <w:trHeight w:val="418"/>
        </w:trPr>
        <w:tc>
          <w:tcPr>
            <w:tcW w:w="3340" w:type="dxa"/>
            <w:vAlign w:val="bottom"/>
          </w:tcPr>
          <w:p>
            <w:pPr>
              <w:ind w:left="660"/>
              <w:spacing w:after="0"/>
              <w:rPr>
                <w:sz w:val="20"/>
                <w:szCs w:val="20"/>
                <w:color w:val="auto"/>
              </w:rPr>
            </w:pPr>
            <w:r>
              <w:rPr>
                <w:rFonts w:ascii="Arial" w:cs="Arial" w:eastAsia="Arial" w:hAnsi="Arial"/>
                <w:sz w:val="18"/>
                <w:szCs w:val="18"/>
                <w:color w:val="auto"/>
              </w:rPr>
              <w:t>If to Katalyst Securities LLC.</w:t>
            </w:r>
          </w:p>
        </w:tc>
        <w:tc>
          <w:tcPr>
            <w:tcW w:w="8080" w:type="dxa"/>
            <w:vAlign w:val="bottom"/>
          </w:tcPr>
          <w:p>
            <w:pPr>
              <w:ind w:left="560"/>
              <w:spacing w:after="0"/>
              <w:rPr>
                <w:sz w:val="20"/>
                <w:szCs w:val="20"/>
                <w:color w:val="auto"/>
              </w:rPr>
            </w:pPr>
            <w:r>
              <w:rPr>
                <w:rFonts w:ascii="Arial" w:cs="Arial" w:eastAsia="Arial" w:hAnsi="Arial"/>
                <w:sz w:val="18"/>
                <w:szCs w:val="18"/>
                <w:color w:val="auto"/>
              </w:rPr>
              <w:t>Katalyst Securities, LLC</w:t>
            </w:r>
          </w:p>
        </w:tc>
      </w:tr>
      <w:tr>
        <w:trPr>
          <w:trHeight w:val="216"/>
        </w:trPr>
        <w:tc>
          <w:tcPr>
            <w:tcW w:w="334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630 Third Avenue, 5th Floor</w:t>
            </w:r>
          </w:p>
        </w:tc>
      </w:tr>
      <w:tr>
        <w:trPr>
          <w:trHeight w:val="216"/>
        </w:trPr>
        <w:tc>
          <w:tcPr>
            <w:tcW w:w="3340" w:type="dxa"/>
            <w:vAlign w:val="bottom"/>
          </w:tcPr>
          <w:p>
            <w:pPr>
              <w:spacing w:after="0"/>
              <w:rPr>
                <w:sz w:val="18"/>
                <w:szCs w:val="18"/>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New York, NY 10017</w:t>
            </w:r>
          </w:p>
        </w:tc>
      </w:tr>
      <w:tr>
        <w:trPr>
          <w:trHeight w:val="230"/>
        </w:trPr>
        <w:tc>
          <w:tcPr>
            <w:tcW w:w="3340" w:type="dxa"/>
            <w:vAlign w:val="bottom"/>
          </w:tcPr>
          <w:p>
            <w:pPr>
              <w:spacing w:after="0"/>
              <w:rPr>
                <w:sz w:val="20"/>
                <w:szCs w:val="20"/>
                <w:color w:val="auto"/>
              </w:rPr>
            </w:pPr>
          </w:p>
        </w:tc>
        <w:tc>
          <w:tcPr>
            <w:tcW w:w="8080" w:type="dxa"/>
            <w:vAlign w:val="bottom"/>
          </w:tcPr>
          <w:p>
            <w:pPr>
              <w:ind w:left="560"/>
              <w:spacing w:after="0"/>
              <w:rPr>
                <w:sz w:val="20"/>
                <w:szCs w:val="20"/>
                <w:color w:val="auto"/>
              </w:rPr>
            </w:pPr>
            <w:r>
              <w:rPr>
                <w:rFonts w:ascii="Arial" w:cs="Arial" w:eastAsia="Arial" w:hAnsi="Arial"/>
                <w:sz w:val="18"/>
                <w:szCs w:val="18"/>
                <w:color w:val="auto"/>
              </w:rPr>
              <w:t>Attention: Michael Silverman Managing Director</w:t>
            </w:r>
          </w:p>
        </w:tc>
      </w:tr>
      <w:tr>
        <w:trPr>
          <w:trHeight w:val="648"/>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808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420"/>
          </w:cols>
          <w:pgMar w:left="240" w:top="908"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(which shall not constitute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Barbara J. Glenns, Esq.</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Law Office of Barbara J. Glenns,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Waterside Plaza, Suite 25G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w:t>
      </w:r>
    </w:p>
    <w:p>
      <w:pPr>
        <w:spacing w:after="0" w:line="200" w:lineRule="exact"/>
        <w:rPr>
          <w:sz w:val="20"/>
          <w:szCs w:val="20"/>
          <w:color w:val="auto"/>
        </w:rPr>
      </w:pPr>
    </w:p>
    <w:p>
      <w:pPr>
        <w:sectPr>
          <w:pgSz w:w="11900" w:h="16838" w:orient="portrait"/>
          <w:cols w:equalWidth="0" w:num="2">
            <w:col w:w="3180" w:space="720"/>
            <w:col w:w="7520"/>
          </w:cols>
          <w:pgMar w:left="240" w:top="908" w:right="239" w:bottom="1440" w:gutter="0" w:footer="0" w:header="0"/>
        </w:sectPr>
      </w:pPr>
    </w:p>
    <w:p>
      <w:pPr>
        <w:spacing w:after="0" w:line="7" w:lineRule="exact"/>
        <w:rPr>
          <w:sz w:val="20"/>
          <w:szCs w:val="20"/>
          <w:color w:val="auto"/>
        </w:rPr>
      </w:pPr>
    </w:p>
    <w:p>
      <w:pPr>
        <w:jc w:val="both"/>
        <w:ind w:firstLine="656"/>
        <w:spacing w:after="0" w:line="266" w:lineRule="auto"/>
        <w:tabs>
          <w:tab w:leader="none" w:pos="1311"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 This Agreement shall be deemed to have been made and delivered in New York City and shall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as to validity, interpretation, construction, effect and in all other respects by the internal laws of the State of New York without regard to principles of conflicts of law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b w:val="1"/>
          <w:bCs w:val="1"/>
          <w:color w:val="auto"/>
        </w:rPr>
        <w:t>THE PARTIES HERETO AGREE TO SUBMIT ALL CONTROVERSIES TO THE EXCLUSIVE JURISDICTION OF FINRA ARBITRATION IN ACCORDANCE WITH THE PROVISIONS SET FORTH BELOW AND UNDERSTAND THAT (A) ARBITRATION IS FINAL AND BINDING ON THE PARTIES, (B) THE PARTIES ARE WAIVING THEIR RIGHTS TO SEEK REMEDIES IN COURT, INCLUDING THE RIGHT TO A JURY TRIAL, (C) PRE-ARBITRATION DISCOVERY IS GENERALLY MORE LIMITED AND DIFFERENT FROM COURT PROCEEDINGS, (D) THE ARBITRATOR’S AWARD IS NOT REQUIRED TO INCLUDE FACTUAL FINDINGS OR LEGAL REASONING AND ANY PARTY’S RIGHT TO APPEAL OR TO SEEK MODIFICATION OF RULES BY ARBITRATORS IS STRICTLY LIMITED, (E) THE PANEL OF FINRA ARBITRATORS WILL TYPICALLY INCLUDE A MINORITY OF ARBITRATORS WHO WERE OR ARE AFFILIATED WITH THE SECURITIES INDUSTRY, AND (F) ALL CONTROVERSIES WHICH MAY ARISE BETWEEN THE PARTIES CONCERNING THIS AGREEMENT SHALL BE DETERMINED BY ARBITRATION PURSUANT TO THE RULES THEN PERTAINING TO FINRA. ALL QUESTIONS CONCERNING THE CONSTRUCTION, VALIDITY, ENFORCEMENT AND INTERPRETATION OF THIS AGREEMENT SHALL BE GOVERNED BY AND CONSTRUED AND ENFORCED IN ACCORDANCE WITH THE LAWS OF THE STATE OF NEW YORK. JUDGMENT ON ANY AWARD OF ANY SUCH ARBITRATION MAY BE ENTERED IN THE SUPREME COURT OF THE STATE OF NEW YORK OR IN ANY OTHER COURT HAVING JURISDICTION OVER THE PERSON OR PERSONS AGAINST WHOM SUCH AWARD IS RENDERED. THE PARTIES AGREE THAT THE DETERMINATION OF THE ARBITRATORS SHALL BE BINDING AND CONCLUSIVE UPON THEM. THE PREVAILING PARTY, AS DETERMINED BY SUCH ARBITRATORS, IN A LEGAL PROCEEDING SHALL BE ENTITLED TO COLLECT ANY COSTS, DISBURSEMENTS AND REASONABLE ATTORNEY’S FEES FROM THE OTHER PARTY. PRIOR TO FILING AN ARBITRATION, THE PARTIES HEREBY AGREE THAT THEY WILL ATTEMPT TO RESOLVE THEIR DIFFERENCES FIRST BY SUBMITTING THE MATTER FOR RESOLUTION TO A MEDIATOR, ACCEPTABLE TO ALL PARTIES, AND WHOSE EXPENSES WILL BE BORNE EQUALLY BY ALL PARTIES. THE MEDIATION WILL BE HELD IN THE COUNTY OF NEW YORK, STATE OF NEW YORK, ON AN EXPEDITED BASIS. IF THE PARTIES CANNOT SUCCESSFULLY RESOLVE THEIR DIFFERENCES THROUGH MEDIATION, THE MATTER WILL BE RESOLVED BY ARBITRATION. THE ARBITRATION SHALL TAKE PLACE IN THE COUNTY OF NEW YORK, THE STATE OF NEW YORK, ON AN EXPEDITED BASIS.</w:t>
      </w:r>
    </w:p>
    <w:p>
      <w:pPr>
        <w:spacing w:after="0" w:line="189" w:lineRule="exact"/>
        <w:rPr>
          <w:sz w:val="20"/>
          <w:szCs w:val="20"/>
          <w:color w:val="auto"/>
        </w:rPr>
      </w:pPr>
    </w:p>
    <w:p>
      <w:pPr>
        <w:ind w:left="1280" w:hanging="624"/>
        <w:spacing w:after="0"/>
        <w:tabs>
          <w:tab w:leader="none" w:pos="12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55" w:lineRule="auto"/>
        <w:tabs>
          <w:tab w:leader="none" w:pos="20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 provision of this Agreement may be changed or terminated except by a writing signed by the party or parties to be charged therewith. Unless expressly so provided, no party to this Agreement will be liable for the performance of any other party’s obligations hereunder. Either party hereto may waive compliance by the other with any of the terms, provisions and conditions set forth herein; provided, however, that any such waiver shall be in writing specifically setting forth those provisions waived thereby. No such waiver shall be deemed to constitute or imply waiver of any other term, provision or condition of this Agreement. Neither party may assign its rights or obligations under this Agreement to any other person or entity without the prior written consent of the other party.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908" w:right="239" w:bottom="1440" w:gutter="0" w:footer="0" w:header="0"/>
          <w:type w:val="continuous"/>
        </w:sectPr>
      </w:pPr>
    </w:p>
    <w:bookmarkStart w:id="109" w:name="page110"/>
    <w:bookmarkEnd w:id="109"/>
    <w:p>
      <w:pPr>
        <w:jc w:val="both"/>
        <w:ind w:firstLine="1305"/>
        <w:spacing w:after="0" w:line="264" w:lineRule="auto"/>
        <w:tabs>
          <w:tab w:leader="none" w:pos="214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Each party shall, without payment of any additional consideration by any other party, at any time on or after the date of the Closing, take such further action and execute such other and further documents and instruments as the other party may reasonably request in order to provide the other party with the benefits of this Agreement.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1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Parties to this Agreement each hereby confirm that they will cooperate with each other to the extent that it may become necessary to enter into any revisions or amendments to this Agreement, in the future to conform to any federal or state regulations as long as such revisions or amendments do not materially alter the obligations or benefits of either party under this Agreement.</w:t>
      </w:r>
    </w:p>
    <w:p>
      <w:pPr>
        <w:spacing w:after="0" w:line="177" w:lineRule="exact"/>
        <w:rPr>
          <w:rFonts w:ascii="Arial" w:cs="Arial" w:eastAsia="Arial" w:hAnsi="Arial"/>
          <w:sz w:val="18"/>
          <w:szCs w:val="18"/>
          <w:color w:val="auto"/>
        </w:rPr>
      </w:pPr>
    </w:p>
    <w:p>
      <w:pPr>
        <w:jc w:val="both"/>
        <w:ind w:firstLine="656"/>
        <w:spacing w:after="0" w:line="261" w:lineRule="auto"/>
        <w:tabs>
          <w:tab w:leader="none" w:pos="1305"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Severability</w:t>
      </w:r>
      <w:r>
        <w:rPr>
          <w:rFonts w:ascii="Arial" w:cs="Arial" w:eastAsia="Arial" w:hAnsi="Arial"/>
          <w:sz w:val="18"/>
          <w:szCs w:val="18"/>
          <w:color w:val="auto"/>
        </w:rPr>
        <w:t>. This Agreement together with any other agreement referred to herein supersedes all prior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written or oral agreements between the parties with respect to the Offering and the subject matter hereof. If any portion of this Agreement shall be held invalid or unenforceable, then so far as is reasonable and possible (i) the remainder of this Agreement shall be considered valid and enforceable and (ii) effect shall be given to the intent manifested by the portion held invalid or unenforceable.</w:t>
      </w:r>
    </w:p>
    <w:p>
      <w:pPr>
        <w:spacing w:after="0" w:line="180" w:lineRule="exact"/>
        <w:rPr>
          <w:rFonts w:ascii="Arial" w:cs="Arial" w:eastAsia="Arial" w:hAnsi="Arial"/>
          <w:sz w:val="18"/>
          <w:szCs w:val="18"/>
          <w:b w:val="1"/>
          <w:bCs w:val="1"/>
          <w:color w:val="auto"/>
        </w:rPr>
      </w:pPr>
    </w:p>
    <w:p>
      <w:pPr>
        <w:jc w:val="both"/>
        <w:ind w:firstLine="656"/>
        <w:spacing w:after="0" w:line="298" w:lineRule="auto"/>
        <w:tabs>
          <w:tab w:leader="none" w:pos="1292"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color w:val="auto"/>
        </w:rPr>
        <w:t>. This Agreement may be executed in multiple counterparts, each of which may be executed by less than all of the parties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be an original instrument which shall be enforceable against the parties actually executing such counterparts and all of which together shall constitute one and the same instrument. The exchange of copies of this Agreement and of signature pages by facsimile transmission or in pdf format shall constitute effective execution and delivery of this Agreement as to the parties and may be used in lieu of the original Agreement for all purposes. Signatures of the parties transmitted by facsimile or in pdf format shall be deemed to be their original signatures for all purposes.</w:t>
      </w:r>
    </w:p>
    <w:p>
      <w:pPr>
        <w:spacing w:after="0" w:line="154" w:lineRule="exact"/>
        <w:rPr>
          <w:rFonts w:ascii="Arial" w:cs="Arial" w:eastAsia="Arial" w:hAnsi="Arial"/>
          <w:sz w:val="16"/>
          <w:szCs w:val="16"/>
          <w:b w:val="1"/>
          <w:bCs w:val="1"/>
          <w:color w:val="auto"/>
        </w:rPr>
      </w:pPr>
    </w:p>
    <w:p>
      <w:pPr>
        <w:jc w:val="both"/>
        <w:ind w:firstLine="656"/>
        <w:spacing w:after="0" w:line="266" w:lineRule="auto"/>
        <w:tabs>
          <w:tab w:leader="none" w:pos="138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Announcement of Offering</w:t>
      </w:r>
      <w:r>
        <w:rPr>
          <w:rFonts w:ascii="Arial" w:cs="Arial" w:eastAsia="Arial" w:hAnsi="Arial"/>
          <w:sz w:val="18"/>
          <w:szCs w:val="18"/>
          <w:color w:val="auto"/>
        </w:rPr>
        <w:t>. The Agent and its counsel and advisors may, subsequent to the closing of any Offering, make public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involvement with the Company, including use of the Company’s trademarks and logos. The Agent’s counsel and advisors are intended third party beneficiaries of this Section.</w:t>
      </w:r>
    </w:p>
    <w:p>
      <w:pPr>
        <w:spacing w:after="0" w:line="176" w:lineRule="exact"/>
        <w:rPr>
          <w:rFonts w:ascii="Arial" w:cs="Arial" w:eastAsia="Arial" w:hAnsi="Arial"/>
          <w:sz w:val="18"/>
          <w:szCs w:val="18"/>
          <w:b w:val="1"/>
          <w:bCs w:val="1"/>
          <w:color w:val="auto"/>
        </w:rPr>
      </w:pPr>
    </w:p>
    <w:p>
      <w:pPr>
        <w:jc w:val="both"/>
        <w:ind w:firstLine="656"/>
        <w:spacing w:after="0" w:line="271" w:lineRule="auto"/>
        <w:tabs>
          <w:tab w:leader="none" w:pos="1319"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Advice to the Board</w:t>
      </w:r>
      <w:r>
        <w:rPr>
          <w:rFonts w:ascii="Arial" w:cs="Arial" w:eastAsia="Arial" w:hAnsi="Arial"/>
          <w:sz w:val="17"/>
          <w:szCs w:val="17"/>
          <w:color w:val="auto"/>
        </w:rPr>
        <w:t>. The Company acknowledges that any advice given by the Agent to the Company is solely for benefit and use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board of directors and officers, who will make all decisions regarding whether and how to pursue any opportunity or transaction, including any potential Offering. The Company’s board of directors and management may consider such advice, but will also base their decisions on the advice of legal, tax and other business advisors and other factors which they consider appropriate. Accordingly, as an independent contractor, the Agent will not assume the responsibilities of a fiduciary to the Company or its stockholders in connection with the performance of the services. Any advice provided may not be used, reproduced, disseminated, quoted or referred to without prior written consent of the providing party. The Agent does not provide accounting, tax or legal advice. The Company is a sophisticated business enterprise that has retained the Agent for the limited purposes set forth in this Agreement. The parties acknowledge and agree that their respective rights and obligations are contractual in nature. Each party disclaims an intention to impose fiduciary obligations on the other by virtue of the engagement contemplated by this Agreement.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420"/>
          </w:cols>
          <w:pgMar w:left="240" w:top="908" w:right="239" w:bottom="1440" w:gutter="0" w:footer="0" w:header="0"/>
        </w:sectPr>
      </w:pPr>
    </w:p>
    <w:bookmarkStart w:id="110" w:name="page111"/>
    <w:bookmarkEnd w:id="110"/>
    <w:p>
      <w:pPr>
        <w:jc w:val="both"/>
        <w:ind w:firstLine="656"/>
        <w:spacing w:after="0" w:line="270" w:lineRule="auto"/>
        <w:tabs>
          <w:tab w:leader="none" w:pos="1521"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Other Investment Banking Services</w:t>
      </w:r>
      <w:r>
        <w:rPr>
          <w:rFonts w:ascii="Arial" w:cs="Arial" w:eastAsia="Arial" w:hAnsi="Arial"/>
          <w:sz w:val="17"/>
          <w:szCs w:val="17"/>
          <w:color w:val="auto"/>
        </w:rPr>
        <w:t>. The Company acknowledges that the Agent and its affiliates are securities firms engaged in</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trading and brokerage activities and providing investment banking and financial advisory services. In the ordinary course of business, the Agent and its affiliates may at any time hold long or short positions, and may trade or otherwise effect transactions, for their own account or the accounts of customers, in the Company’s debt or equity securities, its affiliates or other entities that may be involved in the transactions contemplated by this Agreement. In addition, the Agent and its affiliates may from time to time perform various investment banking and financial advisory services for other clients and customers who may have conflicting interests with respect to the Company or the Offering. The Company also acknowledges that the Agent and its affiliates have no obligation to use in connection with this engagement or to furnish the Company, confidential information obtained from other companies. Furthermore, the Company acknowledges the Agent may have fiduciary or other relationships whereby it or its affiliates may exercise voting power over securities of various persons, which securities may from time to time include securities of the Company or others with interests in respect of any Offering. The Company acknowledges that the Agent or such affiliates may exercise such powers and otherwise perform our functions in connection with such fiduciary or other relationships without regard to the Agent’s relationship to the Company hereunder.</w:t>
      </w:r>
    </w:p>
    <w:p>
      <w:pPr>
        <w:spacing w:after="0" w:line="174" w:lineRule="exact"/>
        <w:rPr>
          <w:rFonts w:ascii="Arial" w:cs="Arial" w:eastAsia="Arial" w:hAnsi="Arial"/>
          <w:sz w:val="17"/>
          <w:szCs w:val="17"/>
          <w:b w:val="1"/>
          <w:bCs w:val="1"/>
          <w:color w:val="auto"/>
        </w:rPr>
      </w:pPr>
    </w:p>
    <w:p>
      <w:pPr>
        <w:jc w:val="both"/>
        <w:ind w:firstLine="656"/>
        <w:spacing w:after="0" w:line="295" w:lineRule="auto"/>
        <w:tabs>
          <w:tab w:leader="none" w:pos="1346"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w:t>
      </w:r>
      <w:r>
        <w:rPr>
          <w:rFonts w:ascii="Arial" w:cs="Arial" w:eastAsia="Arial" w:hAnsi="Arial"/>
          <w:sz w:val="16"/>
          <w:szCs w:val="16"/>
          <w:color w:val="auto"/>
        </w:rPr>
        <w:t>. This Agreement shall inure to the benefit of and be binding upon the successors of the Agent and of the Company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party that acquires the Company or all or substantially all of its assets or merges with the Company). Nothing expressed or mentioned in this Agreement is intended or shall be construed to give any person or corporation, other than the parties hereto and parties expressly referred to herein, any legal or equitable right, remedy or claim under or in respect to this Agreement or any provision hereof. The term “successors” shall not include any purchaser of the Securities merely by reason of such purchase. No subrogee of a benefited party shall be entitled to any benefits hereunder. Each party hereto disclaims any an intention to impose any fiduciary obligation on any other party by virtue of the arrangements contemplated by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on following page.]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904" w:right="239" w:bottom="1440" w:gutter="0" w:footer="0" w:header="0"/>
        </w:sectPr>
      </w:pPr>
    </w:p>
    <w:bookmarkStart w:id="111" w:name="page112"/>
    <w:bookmarkEnd w:id="111"/>
    <w:p>
      <w:pPr>
        <w:ind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the agreement between the Company and the Agent, kindly sign and return this Agreement, whereupon it will become a binding agreement as provided herein, among the Company and the Agent in accordance with its terms.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Agreement contains a pre-dispute arbitration provision in paragraph 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TAPIMMUNE, INC</w:t>
      </w:r>
      <w:r>
        <w:rPr>
          <w:rFonts w:ascii="Arial" w:cs="Arial" w:eastAsia="Arial" w:hAnsi="Arial"/>
          <w:sz w:val="18"/>
          <w:szCs w:val="18"/>
          <w:color w:val="auto"/>
        </w:rPr>
        <w:t>.</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Glynn Wilson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Glynn Wilson,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29330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KATALYST SECURITIES LLC</w:t>
      </w:r>
    </w:p>
    <w:p>
      <w:pPr>
        <w:spacing w:after="0" w:line="229"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Michael A. Silverman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Michael 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29330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i w:val="1"/>
          <w:iCs w:val="1"/>
          <w:color w:val="auto"/>
        </w:rPr>
        <w:t>Managing Director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Placement Agency Agreement</w:t>
            </w:r>
          </w:p>
        </w:tc>
        <w:tc>
          <w:tcPr>
            <w:tcW w:w="75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1420"/>
          </w:cols>
          <w:pgMar w:left="240" w:top="908"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165735</wp:posOffset>
            </wp:positionV>
            <wp:extent cx="1878330" cy="8147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7833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TapImmune Inc. Enters into Definitive Agreements to Raise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$6.82 Million in a Private Placement from Accredited Investors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the Exercise of Warrants by Existing Institutional Investors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JACKSONVILLE, Florida, June 22, 2017 / TapImmune Inc. (Nasdaq Capital Market: TPIV), a clinical-stage immuno-oncology company specializing in the development of immunotherapies targeting women’s cancers, announced today that is has entered into definitive subscription agreements to raise aggregate gross proceeds of approximately $6.82 million in a private placement transaction with accredited investors and from the exercise of certain outstanding Series E warrants by certain existing institutional investors. The closings of the transactions are subject to delivery of funds from the investors and are expected to occur on June 26, 2017.</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Glynn Wilson, Chairman and CEO of TapImmune, stated: “We are pleased with the continued interest and investment in TapImmune which will fund us through several significant clinical milestones in the advancement of our novel T-cell vaccines for breast and ovarian cancer. In addition, we believe that the warrant exercise illustrates the support our current investors have for our continued progress and successful clinical execution. We believe that these events can provide a catalyst for our future growth in one of the most rapidly growing sectors of the oncology market.”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TapImmune expects to use the net proceeds for general corporate purposes, including clinical trial expenses and research and development expenses over the next 18 months. The Company expects to achieve a number of clinical milestones this year, including publication of the Phase I trial results for TPIV 200 to include safety, survival and overall immune responses. Currently TPIV 200, a T-cell cancer vaccine targeting folate receptor alpha, is being evaluated in three Phase 2 trials with a fourth planned to start in the fourth quarter of this year. One study is being run at the Mayo clinic and funded by a grant from the U.S. Department of Defense targeting triple-negative breast cancer. A second study is ongoing in platinum-resistant ovarian cancer at Memorial Sloan Kettering Cancer Center in New York City in collaboration with AstraZeneca. TapImmune is also sponsoring the final two studies in platinum-sensitive ovarian and triple-negative breast cancer. TapImmune plans to fund these studies as well as begin clinical development of its Her2/neu vaccine candidate TPIV 110.</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private placement transaction, TapImmune has agreed to sell 1,503,491 shares of common stock for $3.97 per share (the consolidated closing bid price for the common stock on June 21, 2017) and five-year warrants to purchase an equal number of shares of common stock, at an exercise price of $3.97 per share, for $0.125 per warrant, with the shares and warrants being sold as a unit for a total of $4.095 per unit. In addition, the Company reduced the exercise price for the warrants to purchase an aggregate of 653,187 shares of common stock issued to investors in the private placement that closed in August 2016 from $6.00 per share to $3.97 per share. Investors in the current private placement transaction also paid the Company $0.125 for each share subject to such investor’s 2016 warrant.</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Katalyst Securities served as the placement agent for the private placement transaction.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TapImmune and certain existing institutional investors, who are holders of various warrants to purchase shares of Company common stock, entered into Warrant Exercise Agreements in which the Company agreed to reduce the exercise price for a portion of the investors’ existing Series E warrants from $15.00 per share to $3.97 per share, provided that the investors exercise such portion of the warrants immediately, for aggregate proceeds of approximately $666,666, with the exercise price for 75% of the remainder of the investors’ Series E warrants being reduced from $15.00 per share to $4.50 per share. The remainder of such investors’ Series E warrants would retain their current exercise price. Additionally, the exercise price for 75% of such investors’ other warrants (other than Series A warrants) warrants will be reduced to $4.00 per share.</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securities to be sold in this private placement have not been registered under the Securities Act of 1933, as amended (the “Securities Act”), or applicable state securities laws, and accordingly may not be offered or sold in the United States except pursuant to an effective registration statement or an applicable exemption from the registration requirements of the Securities Act and such applicable state securities laws. The Company has agreed to file a registration statement with the Securities and Exchange Commission (the “SEC”) registering the resale of the shares of common stock issued in the private placement, and the shares of common stock issuable under the warrants issued in the private placement, including the warrants issued to Katalyst Securities.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TapImmune is filing today a Current Report on Form 8-K with the SEC that provides additional details regarding these matters, pending closing, and readers are encouraged to read such Form 8-K and the exhibits thereto in their entirety.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the securities, nor shall there be any sale of the securities in any state in which such offer, solicitation or sale would be unlawful prior to the registration or qualification under the securities laws of such state. Any offering of the securities under the resale registration statement will only be by means of a prospectus.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About TapImmune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TapImmune Inc. is a leader in the immunotherapy of woman’s cancers advancing multiple Phase 2 and Phase 1b/2 clinical studies for the treatment of ovarian and breast cancer. The Company’s peptide- or nucleic acid-based immunotherapeutic products comprise one or multiple naturally processed epitopes (NPEs) designed to comprehensively stimulate a patient’s killer T cells and helper T cells, and to restore or further augment antigen presentation by using proprietary nucleic acid-based expression systems. The Company’s technologies may be used as stand-alone medications or in combination with current treatment modalities.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Please visit the Company’s website at www.tapimmune.com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 Disclaimer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release contains forward-looking information within the meaning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Such risks, uncertainties and factors include, but are not limited to the results of the Phase II clinical trials, the ability to obtain regulatory approval of TPIV 200, the Company’s ability to raise future financing for continued development, the ability to successfully commercialize TPIV 200, as well as the risks and uncertainties set forth in the Company’s most recent Form 10-K, 10-Q and other SEC filings which are available through EDGAR at www.sec.gov. The Company assumes no obligation to update the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Glynn Wilson,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(866)-359-7541</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1)"/>
      <w:numFmt w:val="lowerLetter"/>
      <w:start w:val="4"/>
    </w:lvl>
  </w:abstractNum>
  <w:abstractNum w:abstractNumId="2">
    <w:nsid w:val="4AD084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
    <w:nsid w:val="1F48EAA1"/>
    <w:multiLevelType w:val="hybridMultilevel"/>
    <w:lvl w:ilvl="0">
      <w:lvlJc w:val="left"/>
      <w:lvlText w:val="(%1)"/>
      <w:numFmt w:val="decimal"/>
      <w:start w:val="2"/>
    </w:lvl>
  </w:abstractNum>
  <w:abstractNum w:abstractNumId="4">
    <w:nsid w:val="1381823A"/>
    <w:multiLevelType w:val="hybridMultilevel"/>
    <w:lvl w:ilvl="0">
      <w:lvlJc w:val="left"/>
      <w:lvlText w:val="(%1)"/>
      <w:numFmt w:val="lowerLetter"/>
      <w:start w:val="3"/>
    </w:lvl>
  </w:abstractNum>
  <w:abstractNum w:abstractNumId="5">
    <w:nsid w:val="5DB70AE5"/>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6">
    <w:nsid w:val="100F8FC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7">
    <w:nsid w:val="6590700B"/>
    <w:multiLevelType w:val="hybridMultilevel"/>
    <w:lvl w:ilvl="0">
      <w:lvlJc w:val="left"/>
      <w:lvlText w:val="(%1)"/>
      <w:numFmt w:val="lowerLetter"/>
      <w:start w:val="2"/>
    </w:lvl>
    <w:lvl w:ilvl="1">
      <w:lvlJc w:val="left"/>
      <w:lvlText w:val="(%2)"/>
      <w:numFmt w:val="decimal"/>
      <w:start w:val="1"/>
    </w:lvl>
  </w:abstractNum>
  <w:abstractNum w:abstractNumId="8">
    <w:nsid w:val="15014AC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9">
    <w:nsid w:val="5F5E7FD0"/>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1"/>
    </w:lvl>
    <w:lvl w:ilvl="3">
      <w:lvlJc w:val="left"/>
      <w:lvlText w:val="%4"/>
      <w:numFmt w:val="decimal"/>
      <w:start w:val="1"/>
    </w:lvl>
  </w:abstractNum>
  <w:abstractNum w:abstractNumId="10">
    <w:nsid w:val="98A3148"/>
    <w:multiLevelType w:val="hybridMultilevel"/>
    <w:lvl w:ilvl="0">
      <w:lvlJc w:val="left"/>
      <w:lvlText w:val="(%1)"/>
      <w:numFmt w:val="lowerLetter"/>
      <w:start w:val="2"/>
    </w:lvl>
  </w:abstractNum>
  <w:abstractNum w:abstractNumId="11">
    <w:nsid w:val="799D0247"/>
    <w:multiLevelType w:val="hybridMultilevel"/>
    <w:lvl w:ilvl="0">
      <w:lvlJc w:val="left"/>
      <w:lvlText w:val="%1."/>
      <w:numFmt w:val="decimal"/>
      <w:start w:val="6"/>
    </w:lvl>
    <w:lvl w:ilvl="1">
      <w:lvlJc w:val="left"/>
      <w:lvlText w:val="(%2)"/>
      <w:numFmt w:val="lowerLetter"/>
      <w:start w:val="1"/>
    </w:lvl>
  </w:abstractNum>
  <w:abstractNum w:abstractNumId="12">
    <w:nsid w:val="6B94764"/>
    <w:multiLevelType w:val="hybridMultilevel"/>
    <w:lvl w:ilvl="0">
      <w:lvlJc w:val="left"/>
      <w:lvlText w:val="%1."/>
      <w:numFmt w:val="decimal"/>
      <w:start w:val="8"/>
    </w:lvl>
    <w:lvl w:ilvl="1">
      <w:lvlJc w:val="left"/>
      <w:lvlText w:val="(%2)"/>
      <w:numFmt w:val="lowerLetter"/>
      <w:start w:val="1"/>
    </w:lvl>
  </w:abstractNum>
  <w:abstractNum w:abstractNumId="13">
    <w:nsid w:val="42C296BD"/>
    <w:multiLevelType w:val="hybridMultilevel"/>
    <w:lvl w:ilvl="0">
      <w:lvlJc w:val="left"/>
      <w:lvlText w:val="%1"/>
      <w:numFmt w:val="decimal"/>
      <w:start w:val="1"/>
    </w:lvl>
    <w:lvl w:ilvl="1">
      <w:lvlJc w:val="left"/>
      <w:lvlText w:val="(%2)"/>
      <w:numFmt w:val="lowerLetter"/>
      <w:start w:val="2"/>
    </w:lvl>
  </w:abstractNum>
  <w:abstractNum w:abstractNumId="14">
    <w:nsid w:val="168E121F"/>
    <w:multiLevelType w:val="hybridMultilevel"/>
    <w:lvl w:ilvl="0">
      <w:lvlJc w:val="left"/>
      <w:lvlText w:val="%1."/>
      <w:numFmt w:val="decimal"/>
      <w:start w:val="12"/>
    </w:lvl>
    <w:lvl w:ilvl="1">
      <w:lvlJc w:val="left"/>
      <w:lvlText w:val="(%2)"/>
      <w:numFmt w:val="lowerLetter"/>
      <w:start w:val="1"/>
    </w:lvl>
  </w:abstractNum>
  <w:abstractNum w:abstractNumId="15">
    <w:nsid w:val="1EBA5D23"/>
    <w:multiLevelType w:val="hybridMultilevel"/>
    <w:lvl w:ilvl="0">
      <w:lvlJc w:val="left"/>
      <w:lvlText w:val="(%1)"/>
      <w:numFmt w:val="lowerLetter"/>
      <w:start w:val="2"/>
    </w:lvl>
  </w:abstractNum>
  <w:abstractNum w:abstractNumId="16">
    <w:nsid w:val="661E3F1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7">
    <w:nsid w:val="5DC79EA8"/>
    <w:multiLevelType w:val="hybridMultilevel"/>
    <w:lvl w:ilvl="0">
      <w:lvlJc w:val="left"/>
      <w:lvlText w:val="(%1)"/>
      <w:numFmt w:val="lowerLetter"/>
      <w:start w:val="3"/>
    </w:lvl>
  </w:abstractNum>
  <w:abstractNum w:abstractNumId="18">
    <w:nsid w:val="540A471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9">
    <w:nsid w:val="7BD3EE7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0">
    <w:nsid w:val="51D9C564"/>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21">
    <w:nsid w:val="613EFDC5"/>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22">
    <w:nsid w:val="BF72B14"/>
    <w:multiLevelType w:val="hybridMultilevel"/>
    <w:lvl w:ilvl="0">
      <w:lvlJc w:val="left"/>
      <w:lvlText w:val="%1."/>
      <w:numFmt w:val="decimal"/>
      <w:start w:val="3"/>
    </w:lvl>
    <w:lvl w:ilvl="1">
      <w:lvlJc w:val="left"/>
      <w:lvlText w:val="(%2)"/>
      <w:numFmt w:val="lowerLetter"/>
      <w:start w:val="1"/>
    </w:lvl>
  </w:abstractNum>
  <w:abstractNum w:abstractNumId="23">
    <w:nsid w:val="11447B73"/>
    <w:multiLevelType w:val="hybridMultilevel"/>
    <w:lvl w:ilvl="0">
      <w:lvlJc w:val="left"/>
      <w:lvlText w:val="(%1)"/>
      <w:numFmt w:val="lowerLetter"/>
      <w:start w:val="2"/>
    </w:lvl>
  </w:abstractNum>
  <w:abstractNum w:abstractNumId="24">
    <w:nsid w:val="42963E5A"/>
    <w:multiLevelType w:val="hybridMultilevel"/>
    <w:lvl w:ilvl="0">
      <w:lvlJc w:val="left"/>
      <w:lvlText w:val="%1."/>
      <w:numFmt w:val="decimal"/>
      <w:start w:val="6"/>
    </w:lvl>
    <w:lvl w:ilvl="1">
      <w:lvlJc w:val="left"/>
      <w:lvlText w:val="(%2)"/>
      <w:numFmt w:val="lowerLetter"/>
      <w:start w:val="1"/>
    </w:lvl>
  </w:abstractNum>
  <w:abstractNum w:abstractNumId="25">
    <w:nsid w:val="A0382C5"/>
    <w:multiLevelType w:val="hybridMultilevel"/>
    <w:lvl w:ilvl="0">
      <w:lvlJc w:val="left"/>
      <w:lvlText w:val="%1."/>
      <w:numFmt w:val="decimal"/>
      <w:start w:val="8"/>
    </w:lvl>
    <w:lvl w:ilvl="1">
      <w:lvlJc w:val="left"/>
      <w:lvlText w:val="(%2)"/>
      <w:numFmt w:val="lowerLetter"/>
      <w:start w:val="1"/>
    </w:lvl>
  </w:abstractNum>
  <w:abstractNum w:abstractNumId="26">
    <w:nsid w:val="8F2B15E"/>
    <w:multiLevelType w:val="hybridMultilevel"/>
    <w:lvl w:ilvl="0">
      <w:lvlJc w:val="left"/>
      <w:lvlText w:val="%1"/>
      <w:numFmt w:val="decimal"/>
      <w:start w:val="1"/>
    </w:lvl>
    <w:lvl w:ilvl="1">
      <w:lvlJc w:val="left"/>
      <w:lvlText w:val="(%2)"/>
      <w:numFmt w:val="lowerLetter"/>
      <w:start w:val="2"/>
    </w:lvl>
  </w:abstractNum>
  <w:abstractNum w:abstractNumId="27">
    <w:nsid w:val="1A32234B"/>
    <w:multiLevelType w:val="hybridMultilevel"/>
    <w:lvl w:ilvl="0">
      <w:lvlJc w:val="left"/>
      <w:lvlText w:val="%1."/>
      <w:numFmt w:val="decimal"/>
      <w:start w:val="12"/>
    </w:lvl>
    <w:lvl w:ilvl="1">
      <w:lvlJc w:val="left"/>
      <w:lvlText w:val="(%2)"/>
      <w:numFmt w:val="lowerLetter"/>
      <w:start w:val="1"/>
    </w:lvl>
  </w:abstractNum>
  <w:abstractNum w:abstractNumId="28">
    <w:nsid w:val="3B0FD379"/>
    <w:multiLevelType w:val="hybridMultilevel"/>
    <w:lvl w:ilvl="0">
      <w:lvlJc w:val="left"/>
      <w:lvlText w:val="(%1)"/>
      <w:numFmt w:val="lowerLetter"/>
      <w:start w:val="2"/>
    </w:lvl>
  </w:abstractNum>
  <w:abstractNum w:abstractNumId="29">
    <w:nsid w:val="68EB2F63"/>
    <w:multiLevelType w:val="hybridMultilevel"/>
    <w:lvl w:ilvl="0">
      <w:lvlJc w:val="left"/>
      <w:lvlText w:val="%1."/>
      <w:numFmt w:val="decimal"/>
      <w:start w:val="1"/>
    </w:lvl>
    <w:lvl w:ilvl="1">
      <w:lvlJc w:val="left"/>
      <w:lvlText w:val="%2."/>
      <w:numFmt w:val="lowerLetter"/>
      <w:start w:val="1"/>
    </w:lvl>
  </w:abstractNum>
  <w:abstractNum w:abstractNumId="30">
    <w:nsid w:val="4962813B"/>
    <w:multiLevelType w:val="hybridMultilevel"/>
    <w:lvl w:ilvl="0">
      <w:lvlJc w:val="left"/>
      <w:lvlText w:val="%1."/>
      <w:numFmt w:val="decimal"/>
      <w:start w:val="3"/>
    </w:lvl>
    <w:lvl w:ilvl="1">
      <w:lvlJc w:val="left"/>
      <w:lvlText w:val="%2."/>
      <w:numFmt w:val="lowerLetter"/>
      <w:start w:val="1"/>
    </w:lvl>
  </w:abstractNum>
  <w:abstractNum w:abstractNumId="31">
    <w:nsid w:val="60B6DF70"/>
    <w:multiLevelType w:val="hybridMultilevel"/>
    <w:lvl w:ilvl="0">
      <w:lvlJc w:val="left"/>
      <w:lvlText w:val="%1."/>
      <w:numFmt w:val="lowerLetter"/>
      <w:start w:val="3"/>
    </w:lvl>
  </w:abstractNum>
  <w:abstractNum w:abstractNumId="32">
    <w:nsid w:val="6A5EE64"/>
    <w:multiLevelType w:val="hybridMultilevel"/>
    <w:lvl w:ilvl="0">
      <w:lvlJc w:val="left"/>
      <w:lvlText w:val="%1."/>
      <w:numFmt w:val="lowerLetter"/>
      <w:start w:val="6"/>
    </w:lvl>
  </w:abstractNum>
  <w:abstractNum w:abstractNumId="33">
    <w:nsid w:val="14330624"/>
    <w:multiLevelType w:val="hybridMultilevel"/>
    <w:lvl w:ilvl="0">
      <w:lvlJc w:val="left"/>
      <w:lvlText w:val="%1"/>
      <w:numFmt w:val="lowerRoman"/>
      <w:start w:val="1"/>
    </w:lvl>
    <w:lvl w:ilvl="1">
      <w:lvlJc w:val="left"/>
      <w:lvlText w:val="%2."/>
      <w:numFmt w:val="lowerLetter"/>
      <w:start w:val="12"/>
    </w:lvl>
  </w:abstractNum>
  <w:abstractNum w:abstractNumId="34">
    <w:nsid w:val="7FFFCA11"/>
    <w:multiLevelType w:val="hybridMultilevel"/>
    <w:lvl w:ilvl="0">
      <w:lvlJc w:val="left"/>
      <w:lvlText w:val="(%1)"/>
      <w:numFmt w:val="lowerRoman"/>
      <w:start w:val="1"/>
    </w:lvl>
    <w:lvl w:ilvl="1">
      <w:lvlJc w:val="left"/>
      <w:lvlText w:val="%2"/>
      <w:numFmt w:val="lowerLetter"/>
      <w:start w:val="1"/>
    </w:lvl>
  </w:abstractNum>
  <w:abstractNum w:abstractNumId="35">
    <w:nsid w:val="1A27709E"/>
    <w:multiLevelType w:val="hybridMultilevel"/>
    <w:lvl w:ilvl="0">
      <w:lvlJc w:val="left"/>
      <w:lvlText w:val="%1."/>
      <w:numFmt w:val="lowerLetter"/>
      <w:start w:val="13"/>
    </w:lvl>
  </w:abstractNum>
  <w:abstractNum w:abstractNumId="36">
    <w:nsid w:val="71EA1109"/>
    <w:multiLevelType w:val="hybridMultilevel"/>
    <w:lvl w:ilvl="0">
      <w:lvlJc w:val="left"/>
      <w:lvlText w:val="%1"/>
      <w:numFmt w:val="decimal"/>
      <w:start w:val="1"/>
    </w:lvl>
    <w:lvl w:ilvl="1">
      <w:lvlJc w:val="left"/>
      <w:lvlText w:val="%2."/>
      <w:numFmt w:val="lowerLetter"/>
      <w:start w:val="17"/>
    </w:lvl>
  </w:abstractNum>
  <w:abstractNum w:abstractNumId="37">
    <w:nsid w:val="100F59DC"/>
    <w:multiLevelType w:val="hybridMultilevel"/>
    <w:lvl w:ilvl="0">
      <w:lvlJc w:val="left"/>
      <w:lvlText w:val="%1."/>
      <w:numFmt w:val="decimal"/>
      <w:start w:val="5"/>
    </w:lvl>
    <w:lvl w:ilvl="1">
      <w:lvlJc w:val="left"/>
      <w:lvlText w:val="%2."/>
      <w:numFmt w:val="lowerLetter"/>
      <w:start w:val="1"/>
    </w:lvl>
  </w:abstractNum>
  <w:abstractNum w:abstractNumId="38">
    <w:nsid w:val="7FB7E0AA"/>
    <w:multiLevelType w:val="hybridMultilevel"/>
    <w:lvl w:ilvl="0">
      <w:lvlJc w:val="left"/>
      <w:lvlText w:val="%1."/>
      <w:numFmt w:val="lowerLetter"/>
      <w:start w:val="3"/>
    </w:lvl>
  </w:abstractNum>
  <w:abstractNum w:abstractNumId="39">
    <w:nsid w:val="6EB5BD4"/>
    <w:multiLevelType w:val="hybridMultilevel"/>
    <w:lvl w:ilvl="0">
      <w:lvlJc w:val="left"/>
      <w:lvlText w:val="%1."/>
      <w:numFmt w:val="lowerLetter"/>
      <w:start w:val="6"/>
    </w:lvl>
  </w:abstractNum>
  <w:abstractNum w:abstractNumId="40">
    <w:nsid w:val="6F6DD9AC"/>
    <w:multiLevelType w:val="hybridMultilevel"/>
    <w:lvl w:ilvl="0">
      <w:lvlJc w:val="left"/>
      <w:lvlText w:val="%1."/>
      <w:numFmt w:val="lowerLetter"/>
      <w:start w:val="10"/>
    </w:lvl>
  </w:abstractNum>
  <w:abstractNum w:abstractNumId="41">
    <w:nsid w:val="94211F2"/>
    <w:multiLevelType w:val="hybridMultilevel"/>
    <w:lvl w:ilvl="0">
      <w:lvlJc w:val="left"/>
      <w:lvlText w:val="%1"/>
      <w:numFmt w:val="decimal"/>
      <w:start w:val="1"/>
    </w:lvl>
    <w:lvl w:ilvl="1">
      <w:lvlJc w:val="left"/>
      <w:lvlText w:val="%2."/>
      <w:numFmt w:val="lowerLetter"/>
      <w:start w:val="13"/>
    </w:lvl>
  </w:abstractNum>
  <w:abstractNum w:abstractNumId="42">
    <w:nsid w:val="885E1B"/>
    <w:multiLevelType w:val="hybridMultilevel"/>
    <w:lvl w:ilvl="0">
      <w:lvlJc w:val="left"/>
      <w:lvlText w:val="%1."/>
      <w:numFmt w:val="decimal"/>
      <w:start w:val="6"/>
    </w:lvl>
    <w:lvl w:ilvl="1">
      <w:lvlJc w:val="left"/>
      <w:lvlText w:val="%2."/>
      <w:numFmt w:val="lowerLetter"/>
      <w:start w:val="1"/>
    </w:lvl>
  </w:abstractNum>
  <w:abstractNum w:abstractNumId="43">
    <w:nsid w:val="76272110"/>
    <w:multiLevelType w:val="hybridMultilevel"/>
    <w:lvl w:ilvl="0">
      <w:lvlJc w:val="left"/>
      <w:lvlText w:val="%1."/>
      <w:numFmt w:val="lowerLetter"/>
      <w:start w:val="3"/>
    </w:lvl>
  </w:abstractNum>
  <w:abstractNum w:abstractNumId="44">
    <w:nsid w:val="4C04A8AF"/>
    <w:multiLevelType w:val="hybridMultilevel"/>
    <w:lvl w:ilvl="0">
      <w:lvlJc w:val="left"/>
      <w:lvlText w:val="%1."/>
      <w:numFmt w:val="lowerLetter"/>
      <w:start w:val="4"/>
    </w:lvl>
  </w:abstractNum>
  <w:abstractNum w:abstractNumId="45">
    <w:nsid w:val="1716703B"/>
    <w:multiLevelType w:val="hybridMultilevel"/>
    <w:lvl w:ilvl="0">
      <w:lvlJc w:val="left"/>
      <w:lvlText w:val="%1."/>
      <w:numFmt w:val="decimal"/>
      <w:start w:val="7"/>
    </w:lvl>
    <w:lvl w:ilvl="1">
      <w:lvlJc w:val="left"/>
      <w:lvlText w:val="%2."/>
      <w:numFmt w:val="lowerLetter"/>
      <w:start w:val="1"/>
    </w:lvl>
  </w:abstractNum>
  <w:abstractNum w:abstractNumId="46">
    <w:nsid w:val="14E17E33"/>
    <w:multiLevelType w:val="hybridMultilevel"/>
    <w:lvl w:ilvl="0">
      <w:lvlJc w:val="left"/>
      <w:lvlText w:val="%1."/>
      <w:numFmt w:val="decimal"/>
      <w:start w:val="8"/>
    </w:lvl>
    <w:lvl w:ilvl="1">
      <w:lvlJc w:val="left"/>
      <w:lvlText w:val="%2."/>
      <w:numFmt w:val="lowerLetter"/>
      <w:start w:val="1"/>
    </w:lvl>
  </w:abstractNum>
  <w:abstractNum w:abstractNumId="47">
    <w:nsid w:val="3222E7CD"/>
    <w:multiLevelType w:val="hybridMultilevel"/>
    <w:lvl w:ilvl="0">
      <w:lvlJc w:val="left"/>
      <w:lvlText w:val="%1"/>
      <w:numFmt w:val="decimal"/>
      <w:start w:val="1"/>
    </w:lvl>
    <w:lvl w:ilvl="1">
      <w:lvlJc w:val="left"/>
      <w:lvlText w:val="%2."/>
      <w:numFmt w:val="lowerLetter"/>
      <w:start w:val="4"/>
    </w:lvl>
  </w:abstractNum>
  <w:abstractNum w:abstractNumId="48">
    <w:nsid w:val="74DE0EE3"/>
    <w:multiLevelType w:val="hybridMultilevel"/>
    <w:lvl w:ilvl="0">
      <w:lvlJc w:val="left"/>
      <w:lvlText w:val="%1."/>
      <w:numFmt w:val="decimal"/>
      <w:start w:val="15"/>
    </w:lvl>
    <w:lvl w:ilvl="1">
      <w:lvlJc w:val="left"/>
      <w:lvlText w:val="%2"/>
      <w:numFmt w:val="lowerLetter"/>
      <w:start w:val="1"/>
    </w:lvl>
  </w:abstractNum>
  <w:abstractNum w:abstractNumId="49">
    <w:nsid w:val="68EBC550"/>
    <w:multiLevelType w:val="hybridMultilevel"/>
    <w:lvl w:ilvl="0">
      <w:lvlJc w:val="left"/>
      <w:lvlText w:val="%1."/>
      <w:numFmt w:val="decimal"/>
      <w:start w:val="18"/>
    </w:lvl>
    <w:lvl w:ilvl="1">
      <w:lvlJc w:val="left"/>
      <w:lvlText w:val="%2."/>
      <w:numFmt w:val="lowerLetter"/>
      <w:start w:val="1"/>
    </w:lvl>
  </w:abstractNum>
  <w:abstractNum w:abstractNumId="50">
    <w:nsid w:val="2DF6D648"/>
    <w:multiLevelType w:val="hybridMultilevel"/>
    <w:lvl w:ilvl="0">
      <w:lvlJc w:val="left"/>
      <w:lvlText w:val="%1"/>
      <w:numFmt w:val="decimal"/>
      <w:start w:val="1"/>
    </w:lvl>
    <w:lvl w:ilvl="1">
      <w:lvlJc w:val="left"/>
      <w:lvlText w:val="%2."/>
      <w:numFmt w:val="lowerLetter"/>
      <w:start w:val="6"/>
    </w:lvl>
  </w:abstractNum>
  <w:abstractNum w:abstractNumId="51">
    <w:nsid w:val="46B7D447"/>
    <w:multiLevelType w:val="hybridMultilevel"/>
    <w:lvl w:ilvl="0">
      <w:lvlJc w:val="left"/>
      <w:lvlText w:val="%1."/>
      <w:numFmt w:val="decimal"/>
      <w:start w:val="20"/>
    </w:lvl>
    <w:lvl w:ilvl="1">
      <w:lvlJc w:val="left"/>
      <w:lvlText w:val="%2"/>
      <w:numFmt w:val="lowerLetter"/>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1."/>
      <w:numFmt w:val="decimal"/>
      <w:start w:val="7"/>
    </w:lvl>
  </w:abstractNum>
  <w:abstractNum w:abstractNumId="54">
    <w:nsid w:val="57FC4FBB"/>
    <w:multiLevelType w:val="hybridMultilevel"/>
    <w:lvl w:ilvl="0">
      <w:lvlJc w:val="left"/>
      <w:lvlText w:val="%1."/>
      <w:numFmt w:val="decimal"/>
      <w:start w:val="9"/>
    </w:lvl>
  </w:abstractNum>
  <w:abstractNum w:abstractNumId="55">
    <w:nsid w:val="CC1016F"/>
    <w:multiLevelType w:val="hybridMultilevel"/>
    <w:lvl w:ilvl="0">
      <w:lvlJc w:val="left"/>
      <w:lvlText w:val="1"/>
      <w:numFmt w:val="bullet"/>
      <w:start w:val="1"/>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1."/>
      <w:numFmt w:val="decimal"/>
      <w:start w:val="1"/>
    </w:lvl>
  </w:abstractNum>
  <w:abstractNum w:abstractNumId="59">
    <w:nsid w:val="7F01579B"/>
    <w:multiLevelType w:val="hybridMultilevel"/>
    <w:lvl w:ilvl="0">
      <w:lvlJc w:val="left"/>
      <w:lvlText w:val="%1."/>
      <w:numFmt w:val="decimal"/>
      <w:start w:val="2"/>
    </w:lvl>
  </w:abstractNum>
  <w:abstractNum w:abstractNumId="60">
    <w:nsid w:val="49DA307D"/>
    <w:multiLevelType w:val="hybridMultilevel"/>
    <w:lvl w:ilvl="0">
      <w:lvlJc w:val="left"/>
      <w:lvlText w:val="%1."/>
      <w:numFmt w:val="decimal"/>
      <w:start w:val="1"/>
    </w:lvl>
  </w:abstractNum>
  <w:abstractNum w:abstractNumId="61">
    <w:nsid w:val="7055A5F5"/>
    <w:multiLevelType w:val="hybridMultilevel"/>
    <w:lvl w:ilvl="0">
      <w:lvlJc w:val="left"/>
      <w:lvlText w:val="%1"/>
      <w:numFmt w:val="decimal"/>
      <w:start w:val="1"/>
    </w:lvl>
    <w:lvl w:ilvl="1">
      <w:lvlJc w:val="left"/>
      <w:lvlText w:val="(%2)"/>
      <w:numFmt w:val="lowerLetter"/>
      <w:start w:val="1"/>
    </w:lvl>
  </w:abstractNum>
  <w:abstractNum w:abstractNumId="62">
    <w:nsid w:val="5FB8370B"/>
    <w:multiLevelType w:val="hybridMultilevel"/>
    <w:lvl w:ilvl="0">
      <w:lvlJc w:val="left"/>
      <w:lvlText w:val="(%1)"/>
      <w:numFmt w:val="decimal"/>
      <w:start w:val="20"/>
    </w:lvl>
    <w:lvl w:ilvl="1">
      <w:lvlJc w:val="left"/>
      <w:lvlText w:val="(%2)"/>
      <w:numFmt w:val="lowerLetter"/>
      <w:start w:val="4"/>
    </w:lvl>
  </w:abstractNum>
  <w:abstractNum w:abstractNumId="63">
    <w:nsid w:val="50801EE1"/>
    <w:multiLevelType w:val="hybridMultilevel"/>
    <w:lvl w:ilvl="0">
      <w:lvlJc w:val="left"/>
      <w:lvlText w:val="(%1)"/>
      <w:numFmt w:val="lowerLetter"/>
      <w:start w:val="5"/>
    </w:lvl>
  </w:abstractNum>
  <w:abstractNum w:abstractNumId="64">
    <w:nsid w:val="488AC1A"/>
    <w:multiLevelType w:val="hybridMultilevel"/>
    <w:lvl w:ilvl="0">
      <w:lvlJc w:val="left"/>
      <w:lvlText w:val="%1."/>
      <w:numFmt w:val="decimal"/>
      <w:start w:val="2"/>
    </w:lvl>
    <w:lvl w:ilvl="1">
      <w:lvlJc w:val="left"/>
      <w:lvlText w:val="(%2)"/>
      <w:numFmt w:val="lowerLetter"/>
      <w:start w:val="1"/>
    </w:lvl>
  </w:abstractNum>
  <w:abstractNum w:abstractNumId="65">
    <w:nsid w:val="5FB8011C"/>
    <w:multiLevelType w:val="hybridMultilevel"/>
    <w:lvl w:ilvl="0">
      <w:lvlJc w:val="left"/>
      <w:lvlText w:val="(%1)"/>
      <w:numFmt w:val="lowerLetter"/>
      <w:start w:val="2"/>
    </w:lvl>
    <w:lvl w:ilvl="1">
      <w:lvlJc w:val="left"/>
      <w:lvlText w:val="(%2)"/>
      <w:numFmt w:val="lowerLetter"/>
      <w:start w:val="9"/>
    </w:lvl>
  </w:abstractNum>
  <w:abstractNum w:abstractNumId="66">
    <w:nsid w:val="6AA78F7F"/>
    <w:multiLevelType w:val="hybridMultilevel"/>
    <w:lvl w:ilvl="0">
      <w:lvlJc w:val="left"/>
      <w:lvlText w:val="(%1)"/>
      <w:numFmt w:val="lowerRoman"/>
      <w:start w:val="2"/>
    </w:lvl>
  </w:abstractNum>
  <w:abstractNum w:abstractNumId="67">
    <w:nsid w:val="7672BD23"/>
    <w:multiLevelType w:val="hybridMultilevel"/>
    <w:lvl w:ilvl="0">
      <w:lvlJc w:val="left"/>
      <w:lvlText w:val="(%1)"/>
      <w:numFmt w:val="lowerLetter"/>
      <w:start w:val="4"/>
    </w:lvl>
  </w:abstractNum>
  <w:abstractNum w:abstractNumId="68">
    <w:nsid w:val="6FC75AF8"/>
    <w:multiLevelType w:val="hybridMultilevel"/>
    <w:lvl w:ilvl="0">
      <w:lvlJc w:val="left"/>
      <w:lvlText w:val="(%1)"/>
      <w:numFmt w:val="lowerLetter"/>
      <w:start w:val="5"/>
    </w:lvl>
  </w:abstractNum>
  <w:abstractNum w:abstractNumId="69">
    <w:nsid w:val="6A5F7029"/>
    <w:multiLevelType w:val="hybridMultilevel"/>
    <w:lvl w:ilvl="0">
      <w:lvlJc w:val="left"/>
      <w:lvlText w:val="(%1)"/>
      <w:numFmt w:val="decimal"/>
      <w:start w:val="2"/>
    </w:lvl>
  </w:abstractNum>
  <w:abstractNum w:abstractNumId="70">
    <w:nsid w:val="7D5E18F8"/>
    <w:multiLevelType w:val="hybridMultilevel"/>
    <w:lvl w:ilvl="0">
      <w:lvlJc w:val="left"/>
      <w:lvlText w:val="%1."/>
      <w:numFmt w:val="decimal"/>
      <w:start w:val="4"/>
    </w:lvl>
    <w:lvl w:ilvl="1">
      <w:lvlJc w:val="left"/>
      <w:lvlText w:val="(%2)"/>
      <w:numFmt w:val="lowerLetter"/>
      <w:start w:val="1"/>
    </w:lvl>
  </w:abstractNum>
  <w:abstractNum w:abstractNumId="71">
    <w:nsid w:val="5F3534A4"/>
    <w:multiLevelType w:val="hybridMultilevel"/>
    <w:lvl w:ilvl="0">
      <w:lvlJc w:val="left"/>
      <w:lvlText w:val="(%1)"/>
      <w:numFmt w:val="lowerLetter"/>
      <w:start w:val="5"/>
    </w:lvl>
  </w:abstractNum>
  <w:abstractNum w:abstractNumId="72">
    <w:nsid w:val="73A1821B"/>
    <w:multiLevelType w:val="hybridMultilevel"/>
    <w:lvl w:ilvl="0">
      <w:lvlJc w:val="left"/>
      <w:lvlText w:val="%1"/>
      <w:numFmt w:val="decimal"/>
      <w:start w:val="1"/>
    </w:lvl>
    <w:lvl w:ilvl="1">
      <w:lvlJc w:val="left"/>
      <w:lvlText w:val="(%2)"/>
      <w:numFmt w:val="lowerLetter"/>
      <w:start w:val="10"/>
    </w:lvl>
  </w:abstractNum>
  <w:abstractNum w:abstractNumId="73">
    <w:nsid w:val="7DE67713"/>
    <w:multiLevelType w:val="hybridMultilevel"/>
    <w:lvl w:ilvl="0">
      <w:lvlJc w:val="left"/>
      <w:lvlText w:val="%1."/>
      <w:numFmt w:val="decimal"/>
      <w:start w:val="5"/>
    </w:lvl>
    <w:lvl w:ilvl="1">
      <w:lvlJc w:val="left"/>
      <w:lvlText w:val="%2"/>
      <w:numFmt w:val="lowerLetter"/>
      <w:start w:val="1"/>
    </w:lvl>
  </w:abstractNum>
  <w:abstractNum w:abstractNumId="74">
    <w:nsid w:val="555C55B5"/>
    <w:multiLevelType w:val="hybridMultilevel"/>
    <w:lvl w:ilvl="0">
      <w:lvlJc w:val="left"/>
      <w:lvlText w:val="%1."/>
      <w:numFmt w:val="decimal"/>
      <w:start w:val="8"/>
    </w:lvl>
    <w:lvl w:ilvl="1">
      <w:lvlJc w:val="left"/>
      <w:lvlText w:val="(%2)"/>
      <w:numFmt w:val="lowerLetter"/>
      <w:start w:val="1"/>
    </w:lvl>
  </w:abstractNum>
  <w:abstractNum w:abstractNumId="75">
    <w:nsid w:val="3FA62ACA"/>
    <w:multiLevelType w:val="hybridMultilevel"/>
    <w:lvl w:ilvl="0">
      <w:lvlJc w:val="left"/>
      <w:lvlText w:val="(%1)"/>
      <w:numFmt w:val="lowerLetter"/>
      <w:start w:val="2"/>
    </w:lvl>
  </w:abstractNum>
  <w:abstractNum w:abstractNumId="76">
    <w:nsid w:val="14FCE74E"/>
    <w:multiLevelType w:val="hybridMultilevel"/>
    <w:lvl w:ilvl="0">
      <w:lvlJc w:val="left"/>
      <w:lvlText w:val="%1"/>
      <w:numFmt w:val="decimal"/>
      <w:start w:val="1"/>
    </w:lvl>
    <w:lvl w:ilvl="1">
      <w:lvlJc w:val="left"/>
      <w:lvlText w:val="(%2)"/>
      <w:numFmt w:val="lowerLetter"/>
      <w:start w:val="4"/>
    </w:lvl>
  </w:abstractNum>
  <w:abstractNum w:abstractNumId="77">
    <w:nsid w:val="6A3DD3E8"/>
    <w:multiLevelType w:val="hybridMultilevel"/>
    <w:lvl w:ilvl="0">
      <w:lvlJc w:val="left"/>
      <w:lvlText w:val="%1."/>
      <w:numFmt w:val="decimal"/>
      <w:start w:val="10"/>
    </w:lvl>
    <w:lvl w:ilvl="1">
      <w:lvlJc w:val="left"/>
      <w:lvlText w:val="%2"/>
      <w:numFmt w:val="lowerLetter"/>
      <w:start w:val="1"/>
    </w:lvl>
  </w:abstractNum>
  <w:abstractNum w:abstractNumId="78">
    <w:nsid w:val="71C91298"/>
    <w:multiLevelType w:val="hybridMultilevel"/>
    <w:lvl w:ilvl="0">
      <w:lvlJc w:val="left"/>
      <w:lvlText w:val="%1."/>
      <w:numFmt w:val="decimal"/>
      <w:start w:val="11"/>
    </w:lvl>
    <w:lvl w:ilvl="1">
      <w:lvlJc w:val="left"/>
      <w:lvlText w:val="(%2)"/>
      <w:numFmt w:val="lowerLetter"/>
      <w:start w:val="1"/>
    </w:lvl>
  </w:abstractNum>
  <w:abstractNum w:abstractNumId="79">
    <w:nsid w:val="9DAF632"/>
    <w:multiLevelType w:val="hybridMultilevel"/>
    <w:lvl w:ilvl="0">
      <w:lvlJc w:val="left"/>
      <w:lvlText w:val="(%1)"/>
      <w:numFmt w:val="lowerLetter"/>
      <w:start w:val="5"/>
    </w:lvl>
  </w:abstractNum>
  <w:abstractNum w:abstractNumId="80">
    <w:nsid w:val="53299938"/>
    <w:multiLevelType w:val="hybridMultilevel"/>
    <w:lvl w:ilvl="0">
      <w:lvlJc w:val="left"/>
      <w:lvlText w:val="(%1)"/>
      <w:numFmt w:val="lowerLetter"/>
      <w:start w:val="7"/>
    </w:lvl>
  </w:abstractNum>
  <w:abstractNum w:abstractNumId="81">
    <w:nsid w:val="1FBFE8E0"/>
    <w:multiLevelType w:val="hybridMultilevel"/>
    <w:lvl w:ilvl="0">
      <w:lvlJc w:val="left"/>
      <w:lvlText w:val="(%1)"/>
      <w:numFmt w:val="lowerLetter"/>
      <w:start w:val="8"/>
    </w:lvl>
  </w:abstractNum>
  <w:abstractNum w:abstractNumId="82">
    <w:nsid w:val="5092CA79"/>
    <w:multiLevelType w:val="hybridMultilevel"/>
    <w:lvl w:ilvl="0">
      <w:lvlJc w:val="left"/>
      <w:lvlText w:val="(%1)"/>
      <w:numFmt w:val="lowerLetter"/>
      <w:start w:val="1"/>
    </w:lvl>
  </w:abstractNum>
  <w:abstractNum w:abstractNumId="83">
    <w:nsid w:val="1D545C4D"/>
    <w:multiLevelType w:val="hybridMultilevel"/>
    <w:lvl w:ilvl="0">
      <w:lvlJc w:val="left"/>
      <w:lvlText w:val="(%1)"/>
      <w:numFmt w:val="lowerLetter"/>
      <w:start w:val="1"/>
    </w:lvl>
  </w:abstractNum>
  <w:abstractNum w:abstractNumId="84">
    <w:nsid w:val="59ADEA3D"/>
    <w:multiLevelType w:val="hybridMultilevel"/>
    <w:lvl w:ilvl="0">
      <w:lvlJc w:val="left"/>
      <w:lvlText w:val="(%1)"/>
      <w:numFmt w:val="lowerLetter"/>
      <w:start w:val="5"/>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5"/>
    </w:lvl>
  </w:abstractNum>
  <w:abstractNum w:abstractNumId="87">
    <w:nsid w:val="1D9F6E5F"/>
    <w:multiLevelType w:val="hybridMultilevel"/>
    <w:lvl w:ilvl="0">
      <w:lvlJc w:val="left"/>
      <w:lvlText w:val="%1."/>
      <w:numFmt w:val="decimal"/>
      <w:start w:val="1"/>
    </w:lvl>
    <w:lvl w:ilvl="1">
      <w:lvlJc w:val="left"/>
      <w:lvlText w:val="(%2)"/>
      <w:numFmt w:val="lowerLetter"/>
      <w:start w:val="1"/>
    </w:lvl>
  </w:abstractNum>
  <w:abstractNum w:abstractNumId="88">
    <w:nsid w:val="97E1B4E"/>
    <w:multiLevelType w:val="hybridMultilevel"/>
    <w:lvl w:ilvl="0">
      <w:lvlJc w:val="left"/>
      <w:lvlText w:val="1"/>
      <w:numFmt w:val="bullet"/>
      <w:start w:val="1"/>
    </w:lvl>
  </w:abstractNum>
  <w:abstractNum w:abstractNumId="89">
    <w:nsid w:val="51088277"/>
    <w:multiLevelType w:val="hybridMultilevel"/>
    <w:lvl w:ilvl="0">
      <w:lvlJc w:val="left"/>
      <w:lvlText w:val="(%1)"/>
      <w:numFmt w:val="lowerLetter"/>
      <w:start w:val="2"/>
    </w:lvl>
  </w:abstractNum>
  <w:abstractNum w:abstractNumId="90">
    <w:nsid w:val="1CA0C5FA"/>
    <w:multiLevelType w:val="hybridMultilevel"/>
    <w:lvl w:ilvl="0">
      <w:lvlJc w:val="left"/>
      <w:lvlText w:val="%1"/>
      <w:numFmt w:val="decimal"/>
      <w:start w:val="1"/>
    </w:lvl>
    <w:lvl w:ilvl="1">
      <w:lvlJc w:val="left"/>
      <w:lvlText w:val="(%2)"/>
      <w:numFmt w:val="lowerLetter"/>
      <w:start w:val="5"/>
    </w:lvl>
  </w:abstractNum>
  <w:abstractNum w:abstractNumId="91">
    <w:nsid w:val="53584BCB"/>
    <w:multiLevelType w:val="hybridMultilevel"/>
    <w:lvl w:ilvl="0">
      <w:lvlJc w:val="left"/>
      <w:lvlText w:val="%1."/>
      <w:numFmt w:val="decimal"/>
      <w:start w:val="2"/>
    </w:lvl>
    <w:lvl w:ilvl="1">
      <w:lvlJc w:val="left"/>
      <w:lvlText w:val="%2"/>
      <w:numFmt w:val="lowerLetter"/>
      <w:start w:val="1"/>
    </w:lvl>
  </w:abstractNum>
  <w:abstractNum w:abstractNumId="92">
    <w:nsid w:val="415E286C"/>
    <w:multiLevelType w:val="hybridMultilevel"/>
    <w:lvl w:ilvl="0">
      <w:lvlJc w:val="left"/>
      <w:lvlText w:val="%1."/>
      <w:numFmt w:val="upperLetter"/>
      <w:start w:val="1"/>
    </w:lvl>
  </w:abstractNum>
  <w:abstractNum w:abstractNumId="93">
    <w:nsid w:val="7C58FD05"/>
    <w:multiLevelType w:val="hybridMultilevel"/>
    <w:lvl w:ilvl="0">
      <w:lvlJc w:val="left"/>
      <w:lvlText w:val="(%1)"/>
      <w:numFmt w:val="lowerLetter"/>
      <w:start w:val="1"/>
    </w:lvl>
  </w:abstractNum>
  <w:abstractNum w:abstractNumId="94">
    <w:nsid w:val="23D86AAC"/>
    <w:multiLevelType w:val="hybridMultilevel"/>
    <w:lvl w:ilvl="0">
      <w:lvlJc w:val="left"/>
      <w:lvlText w:val="(%1)"/>
      <w:numFmt w:val="lowerLetter"/>
      <w:start w:val="2"/>
    </w:lvl>
  </w:abstractNum>
  <w:abstractNum w:abstractNumId="95">
    <w:nsid w:val="45E6D486"/>
    <w:multiLevelType w:val="hybridMultilevel"/>
    <w:lvl w:ilvl="0">
      <w:lvlJc w:val="left"/>
      <w:lvlText w:val="(%1)"/>
      <w:numFmt w:val="lowerLetter"/>
      <w:start w:val="3"/>
    </w:lvl>
  </w:abstractNum>
  <w:abstractNum w:abstractNumId="96">
    <w:nsid w:val="5C10FE21"/>
    <w:multiLevelType w:val="hybridMultilevel"/>
    <w:lvl w:ilvl="0">
      <w:lvlJc w:val="left"/>
      <w:lvlText w:val="(%1)"/>
      <w:numFmt w:val="lowerLetter"/>
      <w:start w:val="5"/>
    </w:lvl>
  </w:abstractNum>
  <w:abstractNum w:abstractNumId="97">
    <w:nsid w:val="E7FFA2B"/>
    <w:multiLevelType w:val="hybridMultilevel"/>
    <w:lvl w:ilvl="0">
      <w:lvlJc w:val="left"/>
      <w:lvlText w:val="%1"/>
      <w:numFmt w:val="lowerRoman"/>
      <w:start w:val="1"/>
    </w:lvl>
    <w:lvl w:ilvl="1">
      <w:lvlJc w:val="left"/>
      <w:lvlText w:val="(%2)"/>
      <w:numFmt w:val="lowerLetter"/>
      <w:start w:val="8"/>
    </w:lvl>
  </w:abstractNum>
  <w:abstractNum w:abstractNumId="98">
    <w:nsid w:val="3C5991AA"/>
    <w:multiLevelType w:val="hybridMultilevel"/>
    <w:lvl w:ilvl="0">
      <w:lvlJc w:val="left"/>
      <w:lvlText w:val="(%1)"/>
      <w:numFmt w:val="lowerRoman"/>
      <w:start w:val="4"/>
    </w:lvl>
    <w:lvl w:ilvl="1">
      <w:lvlJc w:val="left"/>
      <w:lvlText w:val="(%2)"/>
      <w:numFmt w:val="lowerLetter"/>
      <w:start w:val="11"/>
    </w:lvl>
  </w:abstractNum>
  <w:abstractNum w:abstractNumId="99">
    <w:nsid w:val="4BD8591A"/>
    <w:multiLevelType w:val="hybridMultilevel"/>
    <w:lvl w:ilvl="0">
      <w:lvlJc w:val="left"/>
      <w:lvlText w:val="(%1)"/>
      <w:numFmt w:val="lowerLetter"/>
      <w:start w:val="12"/>
    </w:lvl>
  </w:abstractNum>
  <w:abstractNum w:abstractNumId="100">
    <w:nsid w:val="78DF6A55"/>
    <w:multiLevelType w:val="hybridMultilevel"/>
    <w:lvl w:ilvl="0">
      <w:lvlJc w:val="left"/>
      <w:lvlText w:val="%1"/>
      <w:numFmt w:val="lowerLetter"/>
      <w:start w:val="1"/>
    </w:lvl>
    <w:lvl w:ilvl="1">
      <w:lvlJc w:val="left"/>
      <w:lvlText w:val="(%2)"/>
      <w:numFmt w:val="lowerLetter"/>
      <w:start w:val="18"/>
    </w:lvl>
  </w:abstractNum>
  <w:abstractNum w:abstractNumId="101">
    <w:nsid w:val="39B7AAA2"/>
    <w:multiLevelType w:val="hybridMultilevel"/>
    <w:lvl w:ilvl="0">
      <w:lvlJc w:val="left"/>
      <w:lvlText w:val="(%1)"/>
      <w:numFmt w:val="lowerLetter"/>
      <w:start w:val="35"/>
    </w:lvl>
    <w:lvl w:ilvl="1">
      <w:lvlJc w:val="left"/>
      <w:lvlText w:val="(%2)"/>
      <w:numFmt w:val="lowerLetter"/>
      <w:start w:val="19"/>
    </w:lvl>
  </w:abstractNum>
  <w:abstractNum w:abstractNumId="102">
    <w:nsid w:val="2B0D8DBE"/>
    <w:multiLevelType w:val="hybridMultilevel"/>
    <w:lvl w:ilvl="0">
      <w:lvlJc w:val="left"/>
      <w:lvlText w:val="(%1)"/>
      <w:numFmt w:val="lowerLetter"/>
      <w:start w:val="20"/>
    </w:lvl>
  </w:abstractNum>
  <w:abstractNum w:abstractNumId="103">
    <w:nsid w:val="6C80EC70"/>
    <w:multiLevelType w:val="hybridMultilevel"/>
    <w:lvl w:ilvl="0">
      <w:lvlJc w:val="left"/>
      <w:lvlText w:val="%1"/>
      <w:numFmt w:val="lowerLetter"/>
      <w:start w:val="1"/>
    </w:lvl>
    <w:lvl w:ilvl="1">
      <w:lvlJc w:val="left"/>
      <w:lvlText w:val="(%2)"/>
      <w:numFmt w:val="lowerLetter"/>
      <w:start w:val="23"/>
    </w:lvl>
  </w:abstractNum>
  <w:abstractNum w:abstractNumId="104">
    <w:nsid w:val="379E21B5"/>
    <w:multiLevelType w:val="hybridMultilevel"/>
    <w:lvl w:ilvl="0">
      <w:lvlJc w:val="left"/>
      <w:lvlText w:val="(%1)"/>
      <w:numFmt w:val="lowerLetter"/>
      <w:start w:val="35"/>
    </w:lvl>
    <w:lvl w:ilvl="1">
      <w:lvlJc w:val="left"/>
      <w:lvlText w:val="(%2)"/>
      <w:numFmt w:val="lowerLetter"/>
      <w:start w:val="24"/>
    </w:lvl>
  </w:abstractNum>
  <w:abstractNum w:abstractNumId="105">
    <w:nsid w:val="69E373"/>
    <w:multiLevelType w:val="hybridMultilevel"/>
    <w:lvl w:ilvl="0">
      <w:lvlJc w:val="left"/>
      <w:lvlText w:val="(%1)"/>
      <w:numFmt w:val="lowerLetter"/>
      <w:start w:val="27"/>
    </w:lvl>
  </w:abstractNum>
  <w:abstractNum w:abstractNumId="106">
    <w:nsid w:val="2C27173B"/>
    <w:multiLevelType w:val="hybridMultilevel"/>
    <w:lvl w:ilvl="0">
      <w:lvlJc w:val="left"/>
      <w:lvlText w:val="(%1)"/>
      <w:numFmt w:val="lowerLetter"/>
      <w:start w:val="29"/>
    </w:lvl>
  </w:abstractNum>
  <w:abstractNum w:abstractNumId="107">
    <w:nsid w:val="4C9B0904"/>
    <w:multiLevelType w:val="hybridMultilevel"/>
    <w:lvl w:ilvl="0">
      <w:lvlJc w:val="left"/>
      <w:lvlText w:val="(%1)"/>
      <w:numFmt w:val="lowerLetter"/>
      <w:start w:val="36"/>
    </w:lvl>
  </w:abstractNum>
  <w:abstractNum w:abstractNumId="108">
    <w:nsid w:val="6AA7B75C"/>
    <w:multiLevelType w:val="hybridMultilevel"/>
    <w:lvl w:ilvl="0">
      <w:lvlJc w:val="left"/>
      <w:lvlText w:val="%1."/>
      <w:numFmt w:val="upperLetter"/>
      <w:start w:val="2"/>
    </w:lvl>
  </w:abstractNum>
  <w:abstractNum w:abstractNumId="109">
    <w:nsid w:val="1DF029D3"/>
    <w:multiLevelType w:val="hybridMultilevel"/>
    <w:lvl w:ilvl="0">
      <w:lvlJc w:val="left"/>
      <w:lvlText w:val="%1"/>
      <w:numFmt w:val="decimal"/>
      <w:start w:val="1"/>
    </w:lvl>
    <w:lvl w:ilvl="1">
      <w:lvlJc w:val="left"/>
      <w:lvlText w:val="(%2)"/>
      <w:numFmt w:val="lowerLetter"/>
      <w:start w:val="1"/>
    </w:lvl>
  </w:abstractNum>
  <w:abstractNum w:abstractNumId="110">
    <w:nsid w:val="5675FF36"/>
    <w:multiLevelType w:val="hybridMultilevel"/>
    <w:lvl w:ilvl="0">
      <w:lvlJc w:val="left"/>
      <w:lvlText w:val="%1."/>
      <w:numFmt w:val="decimal"/>
      <w:start w:val="3"/>
    </w:lvl>
    <w:lvl w:ilvl="1">
      <w:lvlJc w:val="left"/>
      <w:lvlText w:val="(%2)"/>
      <w:numFmt w:val="lowerLetter"/>
      <w:start w:val="1"/>
    </w:lvl>
  </w:abstractNum>
  <w:abstractNum w:abstractNumId="111">
    <w:nsid w:val="3DD15094"/>
    <w:multiLevelType w:val="hybridMultilevel"/>
    <w:lvl w:ilvl="0">
      <w:lvlJc w:val="left"/>
      <w:lvlText w:val="%1"/>
      <w:numFmt w:val="decimal"/>
      <w:start w:val="1"/>
    </w:lvl>
    <w:lvl w:ilvl="1">
      <w:lvlJc w:val="left"/>
      <w:lvlText w:val="(%2)"/>
      <w:numFmt w:val="lowerLetter"/>
      <w:start w:val="3"/>
    </w:lvl>
  </w:abstractNum>
  <w:abstractNum w:abstractNumId="112">
    <w:nsid w:val="3DB012B3"/>
    <w:multiLevelType w:val="hybridMultilevel"/>
    <w:lvl w:ilvl="0">
      <w:lvlJc w:val="left"/>
      <w:lvlText w:val="%1."/>
      <w:numFmt w:val="decimal"/>
      <w:start w:val="4"/>
    </w:lvl>
    <w:lvl w:ilvl="1">
      <w:lvlJc w:val="left"/>
      <w:lvlText w:val="(%2)"/>
      <w:numFmt w:val="lowerLetter"/>
      <w:start w:val="1"/>
    </w:lvl>
  </w:abstractNum>
  <w:abstractNum w:abstractNumId="113">
    <w:nsid w:val="2708C9AF"/>
    <w:multiLevelType w:val="hybridMultilevel"/>
    <w:lvl w:ilvl="0">
      <w:lvlJc w:val="left"/>
      <w:lvlText w:val="%1"/>
      <w:numFmt w:val="decimal"/>
      <w:start w:val="1"/>
    </w:lvl>
    <w:lvl w:ilvl="1">
      <w:lvlJc w:val="left"/>
      <w:lvlText w:val="(%2)"/>
      <w:numFmt w:val="lowerLetter"/>
      <w:start w:val="5"/>
    </w:lvl>
  </w:abstractNum>
  <w:abstractNum w:abstractNumId="114">
    <w:nsid w:val="5B25ACE2"/>
    <w:multiLevelType w:val="hybridMultilevel"/>
    <w:lvl w:ilvl="0">
      <w:lvlJc w:val="left"/>
      <w:lvlText w:val="%1."/>
      <w:numFmt w:val="decimal"/>
      <w:start w:val="5"/>
    </w:lvl>
    <w:lvl w:ilvl="1">
      <w:lvlJc w:val="left"/>
      <w:lvlText w:val="(%2)"/>
      <w:numFmt w:val="lowerLetter"/>
      <w:start w:val="1"/>
    </w:lvl>
  </w:abstractNum>
  <w:abstractNum w:abstractNumId="115">
    <w:nsid w:val="175DFCF0"/>
    <w:multiLevelType w:val="hybridMultilevel"/>
    <w:lvl w:ilvl="0">
      <w:lvlJc w:val="left"/>
      <w:lvlText w:val="(%1)"/>
      <w:numFmt w:val="lowerLetter"/>
      <w:start w:val="3"/>
    </w:lvl>
  </w:abstractNum>
  <w:abstractNum w:abstractNumId="116">
    <w:nsid w:val="4F97E3E4"/>
    <w:multiLevelType w:val="hybridMultilevel"/>
    <w:lvl w:ilvl="0">
      <w:lvlJc w:val="left"/>
      <w:lvlText w:val="%1"/>
      <w:numFmt w:val="decimal"/>
      <w:start w:val="1"/>
    </w:lvl>
    <w:lvl w:ilvl="1">
      <w:lvlJc w:val="left"/>
      <w:lvlText w:val="(%2)"/>
      <w:numFmt w:val="lowerLetter"/>
      <w:start w:val="8"/>
    </w:lvl>
  </w:abstractNum>
  <w:abstractNum w:abstractNumId="117">
    <w:nsid w:val="53B0A9E"/>
    <w:multiLevelType w:val="hybridMultilevel"/>
    <w:lvl w:ilvl="0">
      <w:lvlJc w:val="left"/>
      <w:lvlText w:val="%1."/>
      <w:numFmt w:val="decimal"/>
      <w:start w:val="6"/>
    </w:lvl>
    <w:lvl w:ilvl="1">
      <w:lvlJc w:val="left"/>
      <w:lvlText w:val="(%2)"/>
      <w:numFmt w:val="lowerLetter"/>
      <w:start w:val="1"/>
    </w:lvl>
  </w:abstractNum>
  <w:abstractNum w:abstractNumId="118">
    <w:nsid w:val="34FD6B4F"/>
    <w:multiLevelType w:val="hybridMultilevel"/>
    <w:lvl w:ilvl="0">
      <w:lvlJc w:val="left"/>
      <w:lvlText w:val="(%1)"/>
      <w:numFmt w:val="lowerLetter"/>
      <w:start w:val="5"/>
    </w:lvl>
  </w:abstractNum>
  <w:abstractNum w:abstractNumId="119">
    <w:nsid w:val="5915FF32"/>
    <w:multiLevelType w:val="hybridMultilevel"/>
    <w:lvl w:ilvl="0">
      <w:lvlJc w:val="left"/>
      <w:lvlText w:val="%1."/>
      <w:numFmt w:val="decimal"/>
      <w:start w:val="7"/>
    </w:lvl>
    <w:lvl w:ilvl="1">
      <w:lvlJc w:val="left"/>
      <w:lvlText w:val="(%2)"/>
      <w:numFmt w:val="lowerLetter"/>
      <w:start w:val="1"/>
    </w:lvl>
  </w:abstractNum>
  <w:abstractNum w:abstractNumId="120">
    <w:nsid w:val="56438D15"/>
    <w:multiLevelType w:val="hybridMultilevel"/>
    <w:lvl w:ilvl="0">
      <w:lvlJc w:val="left"/>
      <w:lvlText w:val="%1."/>
      <w:numFmt w:val="decimal"/>
      <w:start w:val="8"/>
    </w:lvl>
    <w:lvl w:ilvl="1">
      <w:lvlJc w:val="left"/>
      <w:lvlText w:val="(%2)"/>
      <w:numFmt w:val="lowerLetter"/>
      <w:start w:val="1"/>
    </w:lvl>
  </w:abstractNum>
  <w:abstractNum w:abstractNumId="121">
    <w:nsid w:val="519E3149"/>
    <w:multiLevelType w:val="hybridMultilevel"/>
    <w:lvl w:ilvl="0">
      <w:lvlJc w:val="left"/>
      <w:lvlText w:val="(%1)"/>
      <w:numFmt w:val="lowerLetter"/>
      <w:start w:val="2"/>
    </w:lvl>
  </w:abstractNum>
  <w:abstractNum w:abstractNumId="122">
    <w:nsid w:val="2C6E4AFD"/>
    <w:multiLevelType w:val="hybridMultilevel"/>
    <w:lvl w:ilvl="0">
      <w:lvlJc w:val="left"/>
      <w:lvlText w:val="%1."/>
      <w:numFmt w:val="decimal"/>
      <w:start w:val="9"/>
    </w:lvl>
    <w:lvl w:ilvl="1">
      <w:lvlJc w:val="left"/>
      <w:lvlText w:val="(%2)"/>
      <w:numFmt w:val="lowerLetter"/>
      <w:start w:val="1"/>
    </w:lvl>
  </w:abstractNum>
  <w:abstractNum w:abstractNumId="123">
    <w:nsid w:val="17A1B582"/>
    <w:multiLevelType w:val="hybridMultilevel"/>
    <w:lvl w:ilvl="0">
      <w:lvlJc w:val="left"/>
      <w:lvlText w:val="%1"/>
      <w:numFmt w:val="decimal"/>
      <w:start w:val="1"/>
    </w:lvl>
    <w:lvl w:ilvl="1">
      <w:lvlJc w:val="left"/>
      <w:lvlText w:val="(%2)"/>
      <w:numFmt w:val="lowerLetter"/>
      <w:start w:val="5"/>
    </w:lvl>
  </w:abstractNum>
  <w:abstractNum w:abstractNumId="124">
    <w:nsid w:val="4DF72E4E"/>
    <w:multiLevelType w:val="hybridMultilevel"/>
    <w:lvl w:ilvl="0">
      <w:lvlJc w:val="left"/>
      <w:lvlText w:val="%1."/>
      <w:numFmt w:val="decimal"/>
      <w:start w:val="11"/>
    </w:lvl>
    <w:lvl w:ilvl="1">
      <w:lvlJc w:val="left"/>
      <w:lvlText w:val="(%2)"/>
      <w:numFmt w:val="lowerLetter"/>
      <w:start w:val="1"/>
    </w:lvl>
  </w:abstractNum>
  <w:abstractNum w:abstractNumId="125">
    <w:nsid w:val="5046B5A9"/>
    <w:multiLevelType w:val="hybridMultilevel"/>
    <w:lvl w:ilvl="0">
      <w:lvlJc w:val="left"/>
      <w:lvlText w:val="%1."/>
      <w:numFmt w:val="decimal"/>
      <w:start w:val="13"/>
    </w:lvl>
  </w:abstractNum>
  <w:abstractNum w:abstractNumId="126">
    <w:nsid w:val="5D888A08"/>
    <w:multiLevelType w:val="hybridMultilevel"/>
    <w:lvl w:ilvl="0">
      <w:lvlJc w:val="left"/>
      <w:lvlText w:val="%1."/>
      <w:numFmt w:val="decimal"/>
      <w:start w:val="14"/>
    </w:lvl>
    <w:lvl w:ilvl="1">
      <w:lvlJc w:val="left"/>
      <w:lvlText w:val="(%2)"/>
      <w:numFmt w:val="lowerLetter"/>
      <w:start w:val="1"/>
    </w:lvl>
  </w:abstractNum>
  <w:abstractNum w:abstractNumId="127">
    <w:nsid w:val="2A082C70"/>
    <w:multiLevelType w:val="hybridMultilevel"/>
    <w:lvl w:ilvl="0">
      <w:lvlJc w:val="left"/>
      <w:lvlText w:val="%1"/>
      <w:numFmt w:val="decimal"/>
      <w:start w:val="1"/>
    </w:lvl>
    <w:lvl w:ilvl="1">
      <w:lvlJc w:val="left"/>
      <w:lvlText w:val="(%2)"/>
      <w:numFmt w:val="lowerLetter"/>
      <w:start w:val="2"/>
    </w:lvl>
  </w:abstractNum>
  <w:abstractNum w:abstractNumId="128">
    <w:nsid w:val="5EC6AFD4"/>
    <w:multiLevelType w:val="hybridMultilevel"/>
    <w:lvl w:ilvl="0">
      <w:lvlJc w:val="left"/>
      <w:lvlText w:val="%1."/>
      <w:numFmt w:val="decimal"/>
      <w:start w:val="15"/>
    </w:lvl>
    <w:lvl w:ilvl="1">
      <w:lvlJc w:val="left"/>
      <w:lvlText w:val="%2"/>
      <w:numFmt w:val="lowerLetter"/>
      <w:start w:val="1"/>
    </w:lvl>
  </w:abstractNum>
  <w:abstractNum w:abstractNumId="129">
    <w:nsid w:val="19E21BB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2020-01-17T15:16:58Z</dcterms:created>
  <dcterms:modified xsi:type="dcterms:W3CDTF">2020-01-17T15:16:58Z</dcterms:modified>
</cp:coreProperties>
</file>